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0C9C4" w14:textId="77777777" w:rsidR="005F5A01" w:rsidRPr="000206BE" w:rsidRDefault="005F5A01" w:rsidP="001C4478">
      <w:pPr>
        <w:adjustRightInd w:val="0"/>
        <w:jc w:val="center"/>
        <w:rPr>
          <w:b/>
          <w:sz w:val="28"/>
        </w:rPr>
      </w:pPr>
    </w:p>
    <w:p w14:paraId="1AD93368" w14:textId="77777777" w:rsidR="005F5A01" w:rsidRPr="000206BE" w:rsidRDefault="005F5A01" w:rsidP="001C4478">
      <w:pPr>
        <w:adjustRightInd w:val="0"/>
        <w:jc w:val="center"/>
        <w:rPr>
          <w:b/>
          <w:sz w:val="28"/>
        </w:rPr>
      </w:pPr>
    </w:p>
    <w:p w14:paraId="1995D009" w14:textId="77777777" w:rsidR="005F5A01" w:rsidRPr="000206BE" w:rsidRDefault="005F5A01" w:rsidP="001C4478">
      <w:pPr>
        <w:adjustRightInd w:val="0"/>
        <w:jc w:val="center"/>
        <w:rPr>
          <w:b/>
          <w:sz w:val="28"/>
        </w:rPr>
      </w:pPr>
    </w:p>
    <w:p w14:paraId="235AA60A" w14:textId="77777777" w:rsidR="005F5A01" w:rsidRPr="000206BE" w:rsidRDefault="00C15D88" w:rsidP="001C4478">
      <w:pPr>
        <w:adjustRightInd w:val="0"/>
        <w:jc w:val="center"/>
        <w:rPr>
          <w:b/>
          <w:sz w:val="28"/>
        </w:rPr>
      </w:pPr>
      <w:r w:rsidRPr="000206BE">
        <w:rPr>
          <w:b/>
          <w:noProof/>
          <w:sz w:val="28"/>
        </w:rPr>
        <w:drawing>
          <wp:inline distT="0" distB="0" distL="0" distR="0" wp14:anchorId="24214704" wp14:editId="2BAE23EB">
            <wp:extent cx="3562350" cy="1240979"/>
            <wp:effectExtent l="0" t="0" r="0" b="0"/>
            <wp:docPr id="8" name="Picture 7" descr="Meguma_Gold_Logo.png">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FD0D836-6FE4-9C45-848C-D56C895362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Meguma_Gold_Logo.png">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FD0D836-6FE4-9C45-848C-D56C8953627A}"/>
                        </a:ext>
                      </a:extLst>
                    </pic:cNvPr>
                    <pic:cNvPicPr>
                      <a:picLocks noChangeAspect="1"/>
                    </pic:cNvPicPr>
                  </pic:nvPicPr>
                  <pic:blipFill rotWithShape="1">
                    <a:blip r:embed="rId9">
                      <a:extLst>
                        <a:ext uri="{28A0092B-C50C-407E-A947-70E740481C1C}">
                          <a14:useLocalDpi xmlns:a14="http://schemas.microsoft.com/office/drawing/2010/main"/>
                        </a:ext>
                      </a:extLst>
                    </a:blip>
                    <a:srcRect l="4538" t="328" r="2434" b="7947"/>
                    <a:stretch/>
                  </pic:blipFill>
                  <pic:spPr>
                    <a:xfrm>
                      <a:off x="0" y="0"/>
                      <a:ext cx="3586337" cy="1249335"/>
                    </a:xfrm>
                    <a:prstGeom prst="rect">
                      <a:avLst/>
                    </a:prstGeom>
                    <a:effectLst/>
                  </pic:spPr>
                </pic:pic>
              </a:graphicData>
            </a:graphic>
          </wp:inline>
        </w:drawing>
      </w:r>
    </w:p>
    <w:p w14:paraId="67A08D05" w14:textId="77777777" w:rsidR="005F5A01" w:rsidRPr="000206BE" w:rsidRDefault="005F5A01" w:rsidP="001C4478">
      <w:pPr>
        <w:adjustRightInd w:val="0"/>
        <w:jc w:val="center"/>
        <w:rPr>
          <w:b/>
          <w:sz w:val="28"/>
        </w:rPr>
      </w:pPr>
    </w:p>
    <w:p w14:paraId="154EEC49" w14:textId="77777777" w:rsidR="005F5A01" w:rsidRPr="000206BE" w:rsidRDefault="005F5A01" w:rsidP="001C4478">
      <w:pPr>
        <w:adjustRightInd w:val="0"/>
        <w:jc w:val="center"/>
        <w:rPr>
          <w:b/>
          <w:sz w:val="28"/>
        </w:rPr>
      </w:pPr>
    </w:p>
    <w:p w14:paraId="0FCB5C7A" w14:textId="77777777" w:rsidR="00507D54" w:rsidRPr="000206BE" w:rsidRDefault="00507D54" w:rsidP="00EF670D">
      <w:pPr>
        <w:adjustRightInd w:val="0"/>
        <w:jc w:val="center"/>
        <w:rPr>
          <w:b/>
          <w:sz w:val="28"/>
        </w:rPr>
      </w:pPr>
      <w:proofErr w:type="spellStart"/>
      <w:r w:rsidRPr="000206BE">
        <w:rPr>
          <w:b/>
          <w:sz w:val="28"/>
        </w:rPr>
        <w:t>MegumaGold</w:t>
      </w:r>
      <w:proofErr w:type="spellEnd"/>
      <w:r w:rsidRPr="000206BE">
        <w:rPr>
          <w:b/>
          <w:sz w:val="28"/>
        </w:rPr>
        <w:t xml:space="preserve"> Corp.</w:t>
      </w:r>
    </w:p>
    <w:p w14:paraId="3DB5BE3A" w14:textId="77777777" w:rsidR="005F5A01" w:rsidRPr="000206BE" w:rsidRDefault="005F5A01" w:rsidP="00EF670D">
      <w:pPr>
        <w:adjustRightInd w:val="0"/>
        <w:jc w:val="center"/>
        <w:rPr>
          <w:b/>
          <w:sz w:val="22"/>
        </w:rPr>
      </w:pPr>
    </w:p>
    <w:p w14:paraId="004F9A0E" w14:textId="46916D57" w:rsidR="00242AA7" w:rsidRPr="000206BE" w:rsidRDefault="003C44DC" w:rsidP="00EF670D">
      <w:pPr>
        <w:adjustRightInd w:val="0"/>
        <w:jc w:val="center"/>
        <w:rPr>
          <w:sz w:val="22"/>
        </w:rPr>
      </w:pPr>
      <w:r>
        <w:rPr>
          <w:sz w:val="22"/>
        </w:rPr>
        <w:t xml:space="preserve">Condensed Interim </w:t>
      </w:r>
      <w:r w:rsidR="005070E6" w:rsidRPr="000206BE">
        <w:rPr>
          <w:sz w:val="22"/>
        </w:rPr>
        <w:t>Consolidated</w:t>
      </w:r>
      <w:r w:rsidR="006669CB" w:rsidRPr="000206BE">
        <w:rPr>
          <w:sz w:val="22"/>
        </w:rPr>
        <w:t xml:space="preserve"> </w:t>
      </w:r>
      <w:r w:rsidR="00242AA7" w:rsidRPr="000206BE">
        <w:rPr>
          <w:sz w:val="22"/>
        </w:rPr>
        <w:t>Financial Statements</w:t>
      </w:r>
      <w:r w:rsidR="007F1E85" w:rsidRPr="000206BE">
        <w:rPr>
          <w:sz w:val="22"/>
        </w:rPr>
        <w:t xml:space="preserve"> </w:t>
      </w:r>
      <w:r>
        <w:rPr>
          <w:sz w:val="22"/>
        </w:rPr>
        <w:t>(unaudited)</w:t>
      </w:r>
    </w:p>
    <w:p w14:paraId="08D5BC8B" w14:textId="77777777" w:rsidR="005F5A01" w:rsidRPr="000206BE" w:rsidRDefault="005F5A01" w:rsidP="00EF670D">
      <w:pPr>
        <w:adjustRightInd w:val="0"/>
        <w:jc w:val="center"/>
        <w:rPr>
          <w:b/>
          <w:sz w:val="22"/>
        </w:rPr>
      </w:pPr>
    </w:p>
    <w:p w14:paraId="0AAECF7B" w14:textId="03BC06A7" w:rsidR="008967AB" w:rsidRPr="000206BE" w:rsidRDefault="00990B06" w:rsidP="00D2117E">
      <w:pPr>
        <w:tabs>
          <w:tab w:val="left" w:pos="2760"/>
          <w:tab w:val="center" w:pos="4680"/>
        </w:tabs>
        <w:adjustRightInd w:val="0"/>
        <w:jc w:val="center"/>
        <w:rPr>
          <w:bCs/>
          <w:sz w:val="22"/>
          <w:szCs w:val="24"/>
        </w:rPr>
      </w:pPr>
      <w:r w:rsidRPr="000206BE">
        <w:rPr>
          <w:bCs/>
          <w:sz w:val="22"/>
          <w:szCs w:val="24"/>
        </w:rPr>
        <w:t xml:space="preserve">For the </w:t>
      </w:r>
      <w:r w:rsidR="003C44DC">
        <w:rPr>
          <w:bCs/>
          <w:sz w:val="22"/>
          <w:szCs w:val="24"/>
        </w:rPr>
        <w:t>Three-Months Period</w:t>
      </w:r>
      <w:r w:rsidR="00D2117E" w:rsidRPr="000206BE">
        <w:rPr>
          <w:bCs/>
          <w:sz w:val="22"/>
          <w:szCs w:val="24"/>
        </w:rPr>
        <w:t xml:space="preserve"> Ended </w:t>
      </w:r>
      <w:r w:rsidR="003C44DC">
        <w:rPr>
          <w:bCs/>
          <w:sz w:val="22"/>
          <w:szCs w:val="24"/>
        </w:rPr>
        <w:t>June</w:t>
      </w:r>
      <w:r w:rsidR="00D2117E" w:rsidRPr="000206BE">
        <w:rPr>
          <w:bCs/>
          <w:sz w:val="22"/>
          <w:szCs w:val="24"/>
        </w:rPr>
        <w:t xml:space="preserve"> 3</w:t>
      </w:r>
      <w:r w:rsidR="003C44DC">
        <w:rPr>
          <w:bCs/>
          <w:sz w:val="22"/>
          <w:szCs w:val="24"/>
        </w:rPr>
        <w:t>0</w:t>
      </w:r>
      <w:r w:rsidR="00D2117E" w:rsidRPr="000206BE">
        <w:rPr>
          <w:bCs/>
          <w:sz w:val="22"/>
          <w:szCs w:val="24"/>
        </w:rPr>
        <w:t>, 20</w:t>
      </w:r>
      <w:r w:rsidR="00586E8D">
        <w:rPr>
          <w:bCs/>
          <w:sz w:val="22"/>
          <w:szCs w:val="24"/>
        </w:rPr>
        <w:t>20</w:t>
      </w:r>
      <w:r w:rsidR="00D2117E" w:rsidRPr="000206BE">
        <w:rPr>
          <w:bCs/>
          <w:sz w:val="22"/>
          <w:szCs w:val="24"/>
        </w:rPr>
        <w:t xml:space="preserve"> and 201</w:t>
      </w:r>
      <w:r w:rsidR="00586E8D">
        <w:rPr>
          <w:bCs/>
          <w:sz w:val="22"/>
          <w:szCs w:val="24"/>
        </w:rPr>
        <w:t>9</w:t>
      </w:r>
    </w:p>
    <w:p w14:paraId="6F5A5F43" w14:textId="77777777" w:rsidR="00D2117E" w:rsidRPr="000206BE" w:rsidRDefault="00D2117E" w:rsidP="00D2117E">
      <w:pPr>
        <w:tabs>
          <w:tab w:val="left" w:pos="2760"/>
          <w:tab w:val="center" w:pos="4680"/>
        </w:tabs>
        <w:adjustRightInd w:val="0"/>
        <w:jc w:val="center"/>
        <w:rPr>
          <w:bCs/>
          <w:sz w:val="20"/>
        </w:rPr>
      </w:pPr>
    </w:p>
    <w:p w14:paraId="79058A1F" w14:textId="77777777" w:rsidR="00DC5910" w:rsidRPr="000206BE" w:rsidRDefault="00DC5910" w:rsidP="008967AB">
      <w:pPr>
        <w:tabs>
          <w:tab w:val="left" w:pos="2295"/>
        </w:tabs>
        <w:jc w:val="both"/>
      </w:pPr>
    </w:p>
    <w:p w14:paraId="6490B913" w14:textId="1EBF171B" w:rsidR="00DC5910" w:rsidRPr="000206BE" w:rsidRDefault="00DC5910">
      <w:pPr>
        <w:widowControl/>
      </w:pPr>
    </w:p>
    <w:p w14:paraId="4010DEE2" w14:textId="77777777" w:rsidR="008C4F28" w:rsidRDefault="008C4F28" w:rsidP="008967AB">
      <w:pPr>
        <w:tabs>
          <w:tab w:val="left" w:pos="2295"/>
        </w:tabs>
        <w:jc w:val="both"/>
        <w:sectPr w:rsidR="008C4F28" w:rsidSect="00330747">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1440" w:left="1440" w:header="708" w:footer="708" w:gutter="0"/>
          <w:cols w:space="708"/>
          <w:titlePg/>
          <w:docGrid w:linePitch="360"/>
        </w:sectPr>
      </w:pPr>
    </w:p>
    <w:p w14:paraId="47B0054E" w14:textId="77777777" w:rsidR="003C44DC" w:rsidRPr="0050090B" w:rsidRDefault="003C44DC" w:rsidP="003C44DC">
      <w:pPr>
        <w:tabs>
          <w:tab w:val="left" w:pos="2295"/>
        </w:tabs>
        <w:jc w:val="both"/>
        <w:rPr>
          <w:sz w:val="20"/>
        </w:rPr>
      </w:pPr>
      <w:r w:rsidRPr="0050090B">
        <w:rPr>
          <w:sz w:val="20"/>
        </w:rPr>
        <w:lastRenderedPageBreak/>
        <w:t>Under National Instrument 51-102, Part 4, subsection 4.3(3)(a), if an auditor has not performed a review of the condensed interim consolidated financial statements, they must be accompanied by a notice indicating that the condensed interim consolidated financial statements have not been reviewed by an auditor.</w:t>
      </w:r>
    </w:p>
    <w:p w14:paraId="46C854A8" w14:textId="77777777" w:rsidR="003C44DC" w:rsidRPr="0050090B" w:rsidRDefault="003C44DC" w:rsidP="003C44DC">
      <w:pPr>
        <w:tabs>
          <w:tab w:val="left" w:pos="2295"/>
        </w:tabs>
        <w:jc w:val="both"/>
        <w:rPr>
          <w:sz w:val="20"/>
        </w:rPr>
      </w:pPr>
    </w:p>
    <w:p w14:paraId="0E648A46" w14:textId="0D9D1EF6" w:rsidR="003C44DC" w:rsidRPr="0050090B" w:rsidRDefault="003C44DC" w:rsidP="003C44DC">
      <w:pPr>
        <w:tabs>
          <w:tab w:val="left" w:pos="2295"/>
        </w:tabs>
        <w:jc w:val="both"/>
        <w:rPr>
          <w:sz w:val="20"/>
        </w:rPr>
      </w:pPr>
      <w:r w:rsidRPr="0050090B">
        <w:rPr>
          <w:sz w:val="20"/>
        </w:rPr>
        <w:t xml:space="preserve"> The accompanying unaudited condensed interim consolidated financial statements of </w:t>
      </w:r>
      <w:proofErr w:type="spellStart"/>
      <w:r w:rsidRPr="0050090B">
        <w:rPr>
          <w:sz w:val="20"/>
        </w:rPr>
        <w:t>MegumaGold</w:t>
      </w:r>
      <w:proofErr w:type="spellEnd"/>
      <w:r w:rsidRPr="0050090B">
        <w:rPr>
          <w:sz w:val="20"/>
        </w:rPr>
        <w:t xml:space="preserve"> Corp. (the “Company”) have been prepared by and are the responsibility of the Company’s management. </w:t>
      </w:r>
    </w:p>
    <w:p w14:paraId="42195FB8" w14:textId="77777777" w:rsidR="003C44DC" w:rsidRPr="0050090B" w:rsidRDefault="003C44DC" w:rsidP="003C44DC">
      <w:pPr>
        <w:tabs>
          <w:tab w:val="left" w:pos="2295"/>
        </w:tabs>
        <w:jc w:val="both"/>
        <w:rPr>
          <w:sz w:val="20"/>
        </w:rPr>
      </w:pPr>
    </w:p>
    <w:p w14:paraId="6279E9D6" w14:textId="77777777" w:rsidR="003C44DC" w:rsidRPr="0050090B" w:rsidRDefault="003C44DC" w:rsidP="003C44DC">
      <w:pPr>
        <w:tabs>
          <w:tab w:val="left" w:pos="2295"/>
        </w:tabs>
        <w:jc w:val="both"/>
        <w:rPr>
          <w:b/>
          <w:sz w:val="20"/>
        </w:rPr>
      </w:pPr>
      <w:r w:rsidRPr="0050090B">
        <w:rPr>
          <w:sz w:val="20"/>
        </w:rPr>
        <w:t>The Company’s independent auditor has not performed a review of these financial statements in accordance with the standards established by the Chartered Professional Accountants of Canada for a review of condensed interim consolidated financial statements by an entity’s auditor.</w:t>
      </w:r>
    </w:p>
    <w:p w14:paraId="7A0CA855" w14:textId="77777777" w:rsidR="003C44DC" w:rsidRPr="0050090B" w:rsidRDefault="003C44DC" w:rsidP="003C44DC">
      <w:pPr>
        <w:tabs>
          <w:tab w:val="left" w:pos="2295"/>
        </w:tabs>
        <w:jc w:val="both"/>
        <w:rPr>
          <w:sz w:val="20"/>
        </w:rPr>
      </w:pPr>
      <w:r w:rsidRPr="0050090B">
        <w:rPr>
          <w:sz w:val="20"/>
        </w:rPr>
        <w:tab/>
      </w:r>
    </w:p>
    <w:p w14:paraId="1F190ACF" w14:textId="0AA6E7A2" w:rsidR="00C56B4A" w:rsidRDefault="00C56B4A" w:rsidP="008967AB">
      <w:pPr>
        <w:tabs>
          <w:tab w:val="left" w:pos="2295"/>
        </w:tabs>
        <w:jc w:val="both"/>
        <w:sectPr w:rsidR="00C56B4A" w:rsidSect="00330747">
          <w:headerReference w:type="even" r:id="rId16"/>
          <w:headerReference w:type="default" r:id="rId17"/>
          <w:headerReference w:type="first" r:id="rId18"/>
          <w:pgSz w:w="12240" w:h="15840"/>
          <w:pgMar w:top="1170" w:right="1440" w:bottom="1440" w:left="1440" w:header="708" w:footer="708" w:gutter="0"/>
          <w:cols w:space="708"/>
          <w:titlePg/>
          <w:docGrid w:linePitch="360"/>
        </w:sectPr>
      </w:pPr>
    </w:p>
    <w:p w14:paraId="1EC0792C" w14:textId="77777777" w:rsidR="00C56B4A" w:rsidRDefault="00C56B4A" w:rsidP="008967AB">
      <w:pPr>
        <w:tabs>
          <w:tab w:val="left" w:pos="2295"/>
        </w:tabs>
        <w:jc w:val="both"/>
      </w:pPr>
    </w:p>
    <w:tbl>
      <w:tblPr>
        <w:tblpPr w:leftFromText="180" w:rightFromText="180" w:vertAnchor="text" w:horzAnchor="margin" w:tblpY="-22"/>
        <w:tblOverlap w:val="never"/>
        <w:tblW w:w="9360" w:type="dxa"/>
        <w:tblLayout w:type="fixed"/>
        <w:tblCellMar>
          <w:left w:w="0" w:type="dxa"/>
          <w:right w:w="0" w:type="dxa"/>
        </w:tblCellMar>
        <w:tblLook w:val="0000" w:firstRow="0" w:lastRow="0" w:firstColumn="0" w:lastColumn="0" w:noHBand="0" w:noVBand="0"/>
      </w:tblPr>
      <w:tblGrid>
        <w:gridCol w:w="5498"/>
        <w:gridCol w:w="1931"/>
        <w:gridCol w:w="1931"/>
      </w:tblGrid>
      <w:tr w:rsidR="00DC5910" w:rsidRPr="000206BE" w14:paraId="3C1B6A18" w14:textId="77777777" w:rsidTr="005D1ED8">
        <w:trPr>
          <w:trHeight w:val="475"/>
        </w:trPr>
        <w:tc>
          <w:tcPr>
            <w:tcW w:w="5498" w:type="dxa"/>
            <w:tcBorders>
              <w:top w:val="double" w:sz="4" w:space="0" w:color="000000"/>
            </w:tcBorders>
            <w:shd w:val="clear" w:color="auto" w:fill="auto"/>
            <w:vAlign w:val="bottom"/>
          </w:tcPr>
          <w:p w14:paraId="435356CE" w14:textId="77777777" w:rsidR="00DC5910" w:rsidRPr="000206BE" w:rsidRDefault="00DC5910" w:rsidP="005D1ED8">
            <w:pPr>
              <w:pStyle w:val="Header"/>
              <w:rPr>
                <w:b/>
                <w:caps/>
                <w:szCs w:val="24"/>
                <w:lang w:bidi="he-IL"/>
              </w:rPr>
            </w:pPr>
          </w:p>
        </w:tc>
        <w:tc>
          <w:tcPr>
            <w:tcW w:w="1931" w:type="dxa"/>
            <w:tcBorders>
              <w:top w:val="double" w:sz="4" w:space="0" w:color="000000"/>
            </w:tcBorders>
            <w:shd w:val="clear" w:color="auto" w:fill="auto"/>
            <w:vAlign w:val="bottom"/>
          </w:tcPr>
          <w:p w14:paraId="6F36044F" w14:textId="7D552BDB" w:rsidR="00D2117E" w:rsidRPr="000206BE" w:rsidRDefault="00FF55CC" w:rsidP="005D1ED8">
            <w:pPr>
              <w:pStyle w:val="DRFinancialStatements"/>
              <w:ind w:right="108"/>
              <w:jc w:val="right"/>
              <w:rPr>
                <w:rFonts w:ascii="Times New Roman" w:hAnsi="Times New Roman"/>
                <w:b/>
                <w:lang w:val="en-US"/>
              </w:rPr>
            </w:pPr>
            <w:r>
              <w:rPr>
                <w:rFonts w:ascii="Times New Roman" w:hAnsi="Times New Roman"/>
                <w:b/>
                <w:lang w:val="en-US"/>
              </w:rPr>
              <w:t>June 30</w:t>
            </w:r>
            <w:r w:rsidR="00D2117E" w:rsidRPr="000206BE">
              <w:rPr>
                <w:rFonts w:ascii="Times New Roman" w:hAnsi="Times New Roman"/>
                <w:b/>
                <w:lang w:val="en-US"/>
              </w:rPr>
              <w:t>,</w:t>
            </w:r>
          </w:p>
          <w:p w14:paraId="065044FC" w14:textId="43734809" w:rsidR="00DC5910" w:rsidRPr="000206BE" w:rsidRDefault="00D2117E" w:rsidP="005D1ED8">
            <w:pPr>
              <w:pStyle w:val="DRFinancialStatements"/>
              <w:ind w:right="108"/>
              <w:jc w:val="right"/>
              <w:rPr>
                <w:rFonts w:ascii="Times New Roman" w:hAnsi="Times New Roman"/>
                <w:b/>
                <w:lang w:val="en-US"/>
              </w:rPr>
            </w:pPr>
            <w:r w:rsidRPr="000206BE">
              <w:rPr>
                <w:rFonts w:ascii="Times New Roman" w:hAnsi="Times New Roman"/>
                <w:b/>
                <w:lang w:val="en-US"/>
              </w:rPr>
              <w:t xml:space="preserve"> 20</w:t>
            </w:r>
            <w:r w:rsidR="00586E8D">
              <w:rPr>
                <w:rFonts w:ascii="Times New Roman" w:hAnsi="Times New Roman"/>
                <w:b/>
                <w:lang w:val="en-US"/>
              </w:rPr>
              <w:t>20</w:t>
            </w:r>
          </w:p>
        </w:tc>
        <w:tc>
          <w:tcPr>
            <w:tcW w:w="1931" w:type="dxa"/>
            <w:tcBorders>
              <w:top w:val="double" w:sz="4" w:space="0" w:color="000000"/>
            </w:tcBorders>
            <w:shd w:val="clear" w:color="auto" w:fill="auto"/>
            <w:vAlign w:val="bottom"/>
          </w:tcPr>
          <w:p w14:paraId="50733BCE" w14:textId="77777777" w:rsidR="00DC5910" w:rsidRPr="000206BE" w:rsidRDefault="00DC5910" w:rsidP="005D1ED8">
            <w:pPr>
              <w:pStyle w:val="DRFinancialStatements"/>
              <w:ind w:right="108"/>
              <w:jc w:val="right"/>
              <w:rPr>
                <w:rFonts w:ascii="Times New Roman" w:hAnsi="Times New Roman"/>
                <w:lang w:val="en-US"/>
              </w:rPr>
            </w:pPr>
            <w:r w:rsidRPr="000206BE">
              <w:rPr>
                <w:rFonts w:ascii="Times New Roman" w:hAnsi="Times New Roman"/>
                <w:lang w:val="en-US"/>
              </w:rPr>
              <w:t>March 31,</w:t>
            </w:r>
          </w:p>
          <w:p w14:paraId="6FCA39E1" w14:textId="6483C720" w:rsidR="00DC5910" w:rsidRPr="000206BE" w:rsidRDefault="00DC5910" w:rsidP="005D1ED8">
            <w:pPr>
              <w:pStyle w:val="DRFinancialStatements"/>
              <w:ind w:left="-1134" w:right="108"/>
              <w:jc w:val="right"/>
              <w:rPr>
                <w:rFonts w:ascii="Times New Roman" w:hAnsi="Times New Roman"/>
                <w:lang w:val="en-US"/>
              </w:rPr>
            </w:pPr>
            <w:r w:rsidRPr="000206BE">
              <w:rPr>
                <w:rFonts w:ascii="Times New Roman" w:hAnsi="Times New Roman"/>
                <w:lang w:val="en-US"/>
              </w:rPr>
              <w:t>20</w:t>
            </w:r>
            <w:r w:rsidR="00490C7E">
              <w:rPr>
                <w:rFonts w:ascii="Times New Roman" w:hAnsi="Times New Roman"/>
                <w:lang w:val="en-US"/>
              </w:rPr>
              <w:t>20</w:t>
            </w:r>
          </w:p>
        </w:tc>
      </w:tr>
      <w:tr w:rsidR="00DC5910" w:rsidRPr="000206BE" w14:paraId="7199A5A2" w14:textId="77777777" w:rsidTr="005D1ED8">
        <w:trPr>
          <w:trHeight w:val="288"/>
        </w:trPr>
        <w:tc>
          <w:tcPr>
            <w:tcW w:w="5498" w:type="dxa"/>
            <w:tcBorders>
              <w:bottom w:val="single" w:sz="4" w:space="0" w:color="auto"/>
            </w:tcBorders>
            <w:shd w:val="clear" w:color="auto" w:fill="auto"/>
            <w:vAlign w:val="bottom"/>
          </w:tcPr>
          <w:p w14:paraId="02C1F037" w14:textId="77777777" w:rsidR="00DC5910" w:rsidRPr="000206BE" w:rsidRDefault="007B362B" w:rsidP="005D1ED8">
            <w:pPr>
              <w:pStyle w:val="DRFinancialStatements"/>
              <w:spacing w:before="58"/>
              <w:ind w:right="58"/>
              <w:jc w:val="left"/>
              <w:rPr>
                <w:rFonts w:ascii="Times New Roman" w:hAnsi="Times New Roman"/>
                <w:b/>
                <w:lang w:val="en-US"/>
              </w:rPr>
            </w:pPr>
            <w:r w:rsidRPr="000206BE">
              <w:rPr>
                <w:rFonts w:ascii="Times New Roman" w:hAnsi="Times New Roman"/>
                <w:b/>
                <w:lang w:val="en-US"/>
              </w:rPr>
              <w:t>AS AT</w:t>
            </w:r>
          </w:p>
        </w:tc>
        <w:tc>
          <w:tcPr>
            <w:tcW w:w="1931" w:type="dxa"/>
            <w:tcBorders>
              <w:bottom w:val="single" w:sz="4" w:space="0" w:color="auto"/>
            </w:tcBorders>
            <w:shd w:val="clear" w:color="auto" w:fill="auto"/>
            <w:vAlign w:val="bottom"/>
          </w:tcPr>
          <w:p w14:paraId="65292B1F" w14:textId="77777777" w:rsidR="00DC5910" w:rsidRPr="000206BE" w:rsidRDefault="00DC5910" w:rsidP="005D1ED8">
            <w:pPr>
              <w:pStyle w:val="DRFinancialStatements"/>
              <w:ind w:right="108"/>
              <w:jc w:val="right"/>
              <w:rPr>
                <w:rFonts w:ascii="Times New Roman" w:hAnsi="Times New Roman"/>
                <w:b/>
                <w:lang w:val="en-US"/>
              </w:rPr>
            </w:pPr>
            <w:r w:rsidRPr="000206BE">
              <w:rPr>
                <w:rFonts w:ascii="Times New Roman" w:hAnsi="Times New Roman"/>
                <w:b/>
                <w:lang w:val="en-US"/>
              </w:rPr>
              <w:t>$</w:t>
            </w:r>
          </w:p>
        </w:tc>
        <w:tc>
          <w:tcPr>
            <w:tcW w:w="1931" w:type="dxa"/>
            <w:tcBorders>
              <w:bottom w:val="single" w:sz="4" w:space="0" w:color="auto"/>
            </w:tcBorders>
            <w:shd w:val="clear" w:color="auto" w:fill="auto"/>
            <w:vAlign w:val="bottom"/>
          </w:tcPr>
          <w:p w14:paraId="7768267E" w14:textId="77777777" w:rsidR="00DC5910" w:rsidRPr="000206BE" w:rsidRDefault="00DC5910" w:rsidP="005D1ED8">
            <w:pPr>
              <w:pStyle w:val="DRFinancialStatements"/>
              <w:ind w:right="108"/>
              <w:jc w:val="right"/>
              <w:rPr>
                <w:rFonts w:ascii="Times New Roman" w:hAnsi="Times New Roman"/>
                <w:lang w:val="en-US"/>
              </w:rPr>
            </w:pPr>
            <w:r w:rsidRPr="000206BE">
              <w:rPr>
                <w:rFonts w:ascii="Times New Roman" w:hAnsi="Times New Roman"/>
                <w:lang w:val="en-US"/>
              </w:rPr>
              <w:t>$</w:t>
            </w:r>
          </w:p>
        </w:tc>
      </w:tr>
      <w:tr w:rsidR="00DC5910" w:rsidRPr="000206BE" w14:paraId="7FB930F8" w14:textId="77777777" w:rsidTr="005D1ED8">
        <w:trPr>
          <w:trHeight w:val="288"/>
        </w:trPr>
        <w:tc>
          <w:tcPr>
            <w:tcW w:w="5498" w:type="dxa"/>
            <w:tcBorders>
              <w:top w:val="single" w:sz="4" w:space="0" w:color="auto"/>
            </w:tcBorders>
            <w:shd w:val="clear" w:color="auto" w:fill="auto"/>
          </w:tcPr>
          <w:p w14:paraId="2E742D6A" w14:textId="77777777" w:rsidR="00DC5910" w:rsidRPr="000206BE" w:rsidRDefault="00DC5910" w:rsidP="005D1ED8">
            <w:pPr>
              <w:pStyle w:val="DRFinancialStatements"/>
              <w:tabs>
                <w:tab w:val="left" w:pos="342"/>
                <w:tab w:val="left" w:pos="4216"/>
              </w:tabs>
              <w:spacing w:before="58"/>
              <w:ind w:right="58"/>
              <w:jc w:val="left"/>
              <w:rPr>
                <w:rFonts w:ascii="Times New Roman" w:hAnsi="Times New Roman"/>
                <w:i/>
                <w:lang w:val="en-US"/>
              </w:rPr>
            </w:pPr>
          </w:p>
        </w:tc>
        <w:tc>
          <w:tcPr>
            <w:tcW w:w="1931" w:type="dxa"/>
            <w:tcBorders>
              <w:top w:val="single" w:sz="4" w:space="0" w:color="auto"/>
            </w:tcBorders>
            <w:shd w:val="clear" w:color="auto" w:fill="auto"/>
          </w:tcPr>
          <w:p w14:paraId="39FF1533" w14:textId="77777777" w:rsidR="00DC5910" w:rsidRPr="000206BE" w:rsidRDefault="00DC5910" w:rsidP="005D1ED8">
            <w:pPr>
              <w:pStyle w:val="DRFinancialStatements"/>
              <w:ind w:right="108"/>
              <w:jc w:val="right"/>
              <w:rPr>
                <w:rFonts w:ascii="Times New Roman" w:hAnsi="Times New Roman"/>
                <w:b/>
                <w:i/>
                <w:lang w:val="en-US"/>
              </w:rPr>
            </w:pPr>
          </w:p>
        </w:tc>
        <w:tc>
          <w:tcPr>
            <w:tcW w:w="1931" w:type="dxa"/>
            <w:tcBorders>
              <w:top w:val="single" w:sz="4" w:space="0" w:color="auto"/>
            </w:tcBorders>
            <w:shd w:val="clear" w:color="auto" w:fill="auto"/>
          </w:tcPr>
          <w:p w14:paraId="09DD0944" w14:textId="77777777" w:rsidR="00DC5910" w:rsidRPr="000206BE" w:rsidRDefault="00DC5910" w:rsidP="005D1ED8">
            <w:pPr>
              <w:pStyle w:val="DRFinancialStatements"/>
              <w:ind w:right="108"/>
              <w:jc w:val="right"/>
              <w:rPr>
                <w:rFonts w:ascii="Times New Roman" w:hAnsi="Times New Roman"/>
                <w:i/>
                <w:lang w:val="en-US"/>
              </w:rPr>
            </w:pPr>
          </w:p>
        </w:tc>
      </w:tr>
      <w:tr w:rsidR="00DC5910" w:rsidRPr="000206BE" w14:paraId="00B7A149" w14:textId="77777777" w:rsidTr="005D1ED8">
        <w:trPr>
          <w:trHeight w:val="288"/>
        </w:trPr>
        <w:tc>
          <w:tcPr>
            <w:tcW w:w="5498" w:type="dxa"/>
            <w:shd w:val="clear" w:color="auto" w:fill="auto"/>
            <w:vAlign w:val="bottom"/>
          </w:tcPr>
          <w:p w14:paraId="7E988DEE" w14:textId="77777777" w:rsidR="00DC5910" w:rsidRPr="000206BE" w:rsidRDefault="00DC5910" w:rsidP="005D1ED8">
            <w:pPr>
              <w:pStyle w:val="DRFinancialStatements"/>
              <w:tabs>
                <w:tab w:val="left" w:pos="342"/>
                <w:tab w:val="left" w:pos="702"/>
              </w:tabs>
              <w:rPr>
                <w:rFonts w:ascii="Times New Roman" w:hAnsi="Times New Roman"/>
                <w:b/>
                <w:lang w:val="en-US"/>
              </w:rPr>
            </w:pPr>
            <w:r w:rsidRPr="000206BE">
              <w:rPr>
                <w:rFonts w:ascii="Times New Roman" w:hAnsi="Times New Roman"/>
                <w:b/>
                <w:lang w:val="en-US"/>
              </w:rPr>
              <w:t>Assets</w:t>
            </w:r>
          </w:p>
        </w:tc>
        <w:tc>
          <w:tcPr>
            <w:tcW w:w="1931" w:type="dxa"/>
            <w:shd w:val="clear" w:color="auto" w:fill="auto"/>
            <w:vAlign w:val="bottom"/>
          </w:tcPr>
          <w:p w14:paraId="3D89DCC5" w14:textId="77777777" w:rsidR="00DC5910" w:rsidRPr="000206BE" w:rsidRDefault="00DC5910" w:rsidP="005D1ED8">
            <w:pPr>
              <w:pStyle w:val="DRFinancialStatements"/>
              <w:ind w:right="108"/>
              <w:jc w:val="right"/>
              <w:rPr>
                <w:rFonts w:ascii="Times New Roman" w:hAnsi="Times New Roman"/>
                <w:b/>
                <w:lang w:val="en-US"/>
              </w:rPr>
            </w:pPr>
          </w:p>
        </w:tc>
        <w:tc>
          <w:tcPr>
            <w:tcW w:w="1931" w:type="dxa"/>
            <w:shd w:val="clear" w:color="auto" w:fill="auto"/>
            <w:vAlign w:val="bottom"/>
          </w:tcPr>
          <w:p w14:paraId="6CE74E66" w14:textId="77777777" w:rsidR="00DC5910" w:rsidRPr="000206BE" w:rsidRDefault="00DC5910" w:rsidP="005D1ED8">
            <w:pPr>
              <w:pStyle w:val="DRFinancialStatements"/>
              <w:ind w:right="108"/>
              <w:jc w:val="right"/>
              <w:rPr>
                <w:rFonts w:ascii="Times New Roman" w:hAnsi="Times New Roman"/>
                <w:lang w:val="en-US"/>
              </w:rPr>
            </w:pPr>
          </w:p>
        </w:tc>
      </w:tr>
      <w:tr w:rsidR="00DC5910" w:rsidRPr="000206BE" w14:paraId="0BD9751A" w14:textId="77777777" w:rsidTr="005D1ED8">
        <w:trPr>
          <w:trHeight w:val="288"/>
        </w:trPr>
        <w:tc>
          <w:tcPr>
            <w:tcW w:w="5498" w:type="dxa"/>
            <w:shd w:val="clear" w:color="auto" w:fill="auto"/>
            <w:vAlign w:val="bottom"/>
          </w:tcPr>
          <w:p w14:paraId="1FB3154F" w14:textId="77777777" w:rsidR="00DC5910" w:rsidRPr="000206BE" w:rsidRDefault="00DC5910" w:rsidP="005D1ED8">
            <w:pPr>
              <w:pStyle w:val="DRFinancialStatements"/>
              <w:tabs>
                <w:tab w:val="left" w:pos="342"/>
                <w:tab w:val="left" w:pos="702"/>
              </w:tabs>
              <w:rPr>
                <w:rFonts w:ascii="Times New Roman" w:hAnsi="Times New Roman"/>
                <w:b/>
                <w:lang w:val="en-US"/>
              </w:rPr>
            </w:pPr>
            <w:r w:rsidRPr="000206BE">
              <w:rPr>
                <w:rFonts w:ascii="Times New Roman" w:hAnsi="Times New Roman"/>
                <w:b/>
                <w:lang w:val="en-US"/>
              </w:rPr>
              <w:t>Current assets</w:t>
            </w:r>
          </w:p>
        </w:tc>
        <w:tc>
          <w:tcPr>
            <w:tcW w:w="1931" w:type="dxa"/>
            <w:shd w:val="clear" w:color="auto" w:fill="auto"/>
            <w:vAlign w:val="bottom"/>
          </w:tcPr>
          <w:p w14:paraId="34453C7C" w14:textId="77777777" w:rsidR="00DC5910" w:rsidRPr="00A62554" w:rsidRDefault="00DC5910" w:rsidP="005D1ED8">
            <w:pPr>
              <w:pStyle w:val="DRFinancialStatements"/>
              <w:ind w:right="108"/>
              <w:jc w:val="right"/>
              <w:rPr>
                <w:rFonts w:ascii="Times New Roman" w:hAnsi="Times New Roman"/>
                <w:lang w:val="en-US"/>
              </w:rPr>
            </w:pPr>
          </w:p>
        </w:tc>
        <w:tc>
          <w:tcPr>
            <w:tcW w:w="1931" w:type="dxa"/>
            <w:shd w:val="clear" w:color="auto" w:fill="auto"/>
            <w:vAlign w:val="bottom"/>
          </w:tcPr>
          <w:p w14:paraId="5F2E3CA5" w14:textId="77777777" w:rsidR="00DC5910" w:rsidRPr="000206BE" w:rsidRDefault="00DC5910" w:rsidP="005D1ED8">
            <w:pPr>
              <w:pStyle w:val="DRFinancialStatements"/>
              <w:ind w:right="108"/>
              <w:jc w:val="right"/>
              <w:rPr>
                <w:rFonts w:ascii="Times New Roman" w:hAnsi="Times New Roman"/>
                <w:lang w:val="en-US"/>
              </w:rPr>
            </w:pPr>
          </w:p>
        </w:tc>
      </w:tr>
      <w:tr w:rsidR="00490C7E" w:rsidRPr="000206BE" w14:paraId="7B6E295B" w14:textId="77777777" w:rsidTr="005D1ED8">
        <w:trPr>
          <w:trHeight w:val="288"/>
        </w:trPr>
        <w:tc>
          <w:tcPr>
            <w:tcW w:w="5498" w:type="dxa"/>
            <w:shd w:val="clear" w:color="auto" w:fill="auto"/>
            <w:vAlign w:val="bottom"/>
          </w:tcPr>
          <w:p w14:paraId="306E1880" w14:textId="77777777" w:rsidR="00490C7E" w:rsidRPr="000206BE" w:rsidRDefault="00490C7E" w:rsidP="00490C7E">
            <w:pPr>
              <w:pStyle w:val="DRFinancialStatements"/>
              <w:tabs>
                <w:tab w:val="left" w:pos="342"/>
                <w:tab w:val="left" w:pos="702"/>
                <w:tab w:val="right" w:pos="5556"/>
              </w:tabs>
              <w:ind w:left="180"/>
              <w:rPr>
                <w:rFonts w:ascii="Times New Roman" w:hAnsi="Times New Roman"/>
                <w:lang w:val="en-US"/>
              </w:rPr>
            </w:pPr>
            <w:r w:rsidRPr="000206BE">
              <w:rPr>
                <w:rFonts w:ascii="Times New Roman" w:hAnsi="Times New Roman"/>
                <w:lang w:val="en-US"/>
              </w:rPr>
              <w:t>Cash</w:t>
            </w:r>
            <w:r>
              <w:rPr>
                <w:rFonts w:ascii="Times New Roman" w:hAnsi="Times New Roman"/>
                <w:lang w:val="en-US"/>
              </w:rPr>
              <w:t xml:space="preserve"> and cash equivalents</w:t>
            </w:r>
          </w:p>
        </w:tc>
        <w:tc>
          <w:tcPr>
            <w:tcW w:w="1931" w:type="dxa"/>
            <w:shd w:val="clear" w:color="auto" w:fill="auto"/>
            <w:vAlign w:val="bottom"/>
          </w:tcPr>
          <w:p w14:paraId="0AAEA6DE" w14:textId="6B803E6E" w:rsidR="00490C7E" w:rsidRPr="00A62554" w:rsidRDefault="00AC7122" w:rsidP="00490C7E">
            <w:pPr>
              <w:pStyle w:val="DRFinancialStatements"/>
              <w:tabs>
                <w:tab w:val="decimal" w:pos="1206"/>
              </w:tabs>
              <w:ind w:right="108"/>
              <w:jc w:val="right"/>
              <w:rPr>
                <w:rFonts w:ascii="Times New Roman" w:hAnsi="Times New Roman"/>
                <w:b/>
                <w:lang w:val="en-US"/>
              </w:rPr>
            </w:pPr>
            <w:r>
              <w:rPr>
                <w:rFonts w:ascii="Times New Roman" w:hAnsi="Times New Roman"/>
                <w:b/>
                <w:lang w:val="en-US"/>
              </w:rPr>
              <w:t>919,947</w:t>
            </w:r>
          </w:p>
        </w:tc>
        <w:tc>
          <w:tcPr>
            <w:tcW w:w="1931" w:type="dxa"/>
            <w:shd w:val="clear" w:color="auto" w:fill="auto"/>
            <w:vAlign w:val="bottom"/>
          </w:tcPr>
          <w:p w14:paraId="6944473F" w14:textId="5C53C50B" w:rsidR="00490C7E" w:rsidRPr="00490C7E" w:rsidRDefault="00490C7E" w:rsidP="00490C7E">
            <w:pPr>
              <w:pStyle w:val="DRFinancialStatements"/>
              <w:ind w:right="108"/>
              <w:jc w:val="right"/>
              <w:rPr>
                <w:rFonts w:ascii="Times New Roman" w:hAnsi="Times New Roman"/>
                <w:bCs/>
                <w:lang w:val="en-US"/>
              </w:rPr>
            </w:pPr>
            <w:r w:rsidRPr="00490C7E">
              <w:rPr>
                <w:rFonts w:ascii="Times New Roman" w:hAnsi="Times New Roman"/>
                <w:bCs/>
                <w:lang w:val="en-US"/>
              </w:rPr>
              <w:t>1,023,103</w:t>
            </w:r>
          </w:p>
        </w:tc>
      </w:tr>
      <w:tr w:rsidR="00490C7E" w:rsidRPr="000206BE" w14:paraId="7CCE4C39" w14:textId="77777777" w:rsidTr="005D1ED8">
        <w:trPr>
          <w:trHeight w:val="288"/>
        </w:trPr>
        <w:tc>
          <w:tcPr>
            <w:tcW w:w="5498" w:type="dxa"/>
            <w:shd w:val="clear" w:color="auto" w:fill="auto"/>
            <w:vAlign w:val="bottom"/>
          </w:tcPr>
          <w:p w14:paraId="4C35705C" w14:textId="77777777" w:rsidR="00490C7E" w:rsidRPr="000206BE" w:rsidRDefault="00490C7E" w:rsidP="00490C7E">
            <w:pPr>
              <w:pStyle w:val="DRFinancialStatements"/>
              <w:tabs>
                <w:tab w:val="left" w:pos="342"/>
                <w:tab w:val="left" w:pos="702"/>
                <w:tab w:val="right" w:pos="5556"/>
              </w:tabs>
              <w:ind w:left="180"/>
              <w:rPr>
                <w:rFonts w:ascii="Times New Roman" w:hAnsi="Times New Roman"/>
                <w:lang w:val="en-US"/>
              </w:rPr>
            </w:pPr>
            <w:r w:rsidRPr="000206BE">
              <w:rPr>
                <w:rFonts w:ascii="Times New Roman" w:hAnsi="Times New Roman"/>
                <w:lang w:val="en-US"/>
              </w:rPr>
              <w:t>Other receivable</w:t>
            </w:r>
            <w:r>
              <w:rPr>
                <w:rFonts w:ascii="Times New Roman" w:hAnsi="Times New Roman"/>
                <w:lang w:val="en-US"/>
              </w:rPr>
              <w:t>s</w:t>
            </w:r>
          </w:p>
        </w:tc>
        <w:tc>
          <w:tcPr>
            <w:tcW w:w="1931" w:type="dxa"/>
            <w:shd w:val="clear" w:color="auto" w:fill="auto"/>
            <w:vAlign w:val="bottom"/>
          </w:tcPr>
          <w:p w14:paraId="39244D44" w14:textId="2B60AA9B" w:rsidR="00490C7E" w:rsidRPr="00A62554" w:rsidRDefault="00FF55CC" w:rsidP="00490C7E">
            <w:pPr>
              <w:pStyle w:val="DRFinancialStatements"/>
              <w:tabs>
                <w:tab w:val="decimal" w:pos="1206"/>
              </w:tabs>
              <w:ind w:right="108"/>
              <w:jc w:val="right"/>
              <w:rPr>
                <w:rFonts w:ascii="Times New Roman" w:hAnsi="Times New Roman"/>
                <w:b/>
                <w:lang w:val="en-US"/>
              </w:rPr>
            </w:pPr>
            <w:r>
              <w:rPr>
                <w:rFonts w:ascii="Times New Roman" w:hAnsi="Times New Roman"/>
                <w:b/>
                <w:lang w:val="en-US"/>
              </w:rPr>
              <w:t>18,946</w:t>
            </w:r>
          </w:p>
        </w:tc>
        <w:tc>
          <w:tcPr>
            <w:tcW w:w="1931" w:type="dxa"/>
            <w:shd w:val="clear" w:color="auto" w:fill="auto"/>
            <w:vAlign w:val="bottom"/>
          </w:tcPr>
          <w:p w14:paraId="40B50D5C" w14:textId="6839AB23" w:rsidR="00490C7E" w:rsidRPr="00490C7E" w:rsidRDefault="00490C7E" w:rsidP="00490C7E">
            <w:pPr>
              <w:pStyle w:val="DRFinancialStatements"/>
              <w:ind w:right="108"/>
              <w:jc w:val="right"/>
              <w:rPr>
                <w:rFonts w:ascii="Times New Roman" w:hAnsi="Times New Roman"/>
                <w:bCs/>
                <w:lang w:val="en-US"/>
              </w:rPr>
            </w:pPr>
            <w:r w:rsidRPr="00490C7E">
              <w:rPr>
                <w:rFonts w:ascii="Times New Roman" w:hAnsi="Times New Roman"/>
                <w:bCs/>
                <w:lang w:val="en-US"/>
              </w:rPr>
              <w:t xml:space="preserve">49,882 </w:t>
            </w:r>
          </w:p>
        </w:tc>
      </w:tr>
      <w:tr w:rsidR="00490C7E" w:rsidRPr="000206BE" w14:paraId="421AD3F9" w14:textId="77777777" w:rsidTr="005D1ED8">
        <w:trPr>
          <w:trHeight w:val="288"/>
        </w:trPr>
        <w:tc>
          <w:tcPr>
            <w:tcW w:w="5498" w:type="dxa"/>
            <w:shd w:val="clear" w:color="auto" w:fill="auto"/>
            <w:vAlign w:val="bottom"/>
          </w:tcPr>
          <w:p w14:paraId="6C662BE8" w14:textId="31E80097" w:rsidR="00490C7E" w:rsidRPr="000206BE" w:rsidRDefault="00490C7E" w:rsidP="00490C7E">
            <w:pPr>
              <w:pStyle w:val="DRFinancialStatements"/>
              <w:tabs>
                <w:tab w:val="left" w:pos="342"/>
                <w:tab w:val="left" w:pos="702"/>
                <w:tab w:val="right" w:pos="5556"/>
              </w:tabs>
              <w:ind w:left="180"/>
              <w:rPr>
                <w:rFonts w:ascii="Times New Roman" w:hAnsi="Times New Roman"/>
                <w:lang w:val="en-US"/>
              </w:rPr>
            </w:pPr>
            <w:r w:rsidRPr="008F2CBE">
              <w:rPr>
                <w:rFonts w:ascii="Times New Roman" w:hAnsi="Times New Roman"/>
                <w:lang w:val="en-US"/>
              </w:rPr>
              <w:t>Investments</w:t>
            </w:r>
            <w:r>
              <w:rPr>
                <w:rFonts w:ascii="Times New Roman" w:hAnsi="Times New Roman"/>
                <w:lang w:val="en-US"/>
              </w:rPr>
              <w:t xml:space="preserve"> </w:t>
            </w:r>
            <w:r w:rsidRPr="00E27D83">
              <w:rPr>
                <w:rFonts w:ascii="Times New Roman" w:hAnsi="Times New Roman"/>
                <w:i/>
                <w:iCs/>
                <w:lang w:val="en-US"/>
              </w:rPr>
              <w:t xml:space="preserve">(Note </w:t>
            </w:r>
            <w:r>
              <w:rPr>
                <w:rFonts w:ascii="Times New Roman" w:hAnsi="Times New Roman"/>
                <w:i/>
                <w:iCs/>
                <w:lang w:val="en-US"/>
              </w:rPr>
              <w:t>1</w:t>
            </w:r>
            <w:r w:rsidR="001B5D5F">
              <w:rPr>
                <w:rFonts w:ascii="Times New Roman" w:hAnsi="Times New Roman"/>
                <w:i/>
                <w:iCs/>
                <w:lang w:val="en-US"/>
              </w:rPr>
              <w:t>3</w:t>
            </w:r>
            <w:r w:rsidRPr="00E27D83">
              <w:rPr>
                <w:rFonts w:ascii="Times New Roman" w:hAnsi="Times New Roman"/>
                <w:i/>
                <w:iCs/>
                <w:lang w:val="en-US"/>
              </w:rPr>
              <w:t>)</w:t>
            </w:r>
          </w:p>
        </w:tc>
        <w:tc>
          <w:tcPr>
            <w:tcW w:w="1931" w:type="dxa"/>
            <w:shd w:val="clear" w:color="auto" w:fill="auto"/>
            <w:vAlign w:val="bottom"/>
          </w:tcPr>
          <w:p w14:paraId="26AF594C" w14:textId="2C6B79CC" w:rsidR="00490C7E" w:rsidRPr="00A62554" w:rsidDel="00586E8D" w:rsidRDefault="00AC7122" w:rsidP="00490C7E">
            <w:pPr>
              <w:pStyle w:val="DRFinancialStatements"/>
              <w:tabs>
                <w:tab w:val="decimal" w:pos="1206"/>
              </w:tabs>
              <w:ind w:right="108"/>
              <w:jc w:val="right"/>
              <w:rPr>
                <w:rFonts w:ascii="Times New Roman" w:hAnsi="Times New Roman"/>
                <w:b/>
                <w:lang w:val="en-US"/>
              </w:rPr>
            </w:pPr>
            <w:r>
              <w:rPr>
                <w:rFonts w:ascii="Times New Roman" w:hAnsi="Times New Roman"/>
                <w:b/>
                <w:lang w:val="en-US"/>
              </w:rPr>
              <w:t>194,760</w:t>
            </w:r>
          </w:p>
        </w:tc>
        <w:tc>
          <w:tcPr>
            <w:tcW w:w="1931" w:type="dxa"/>
            <w:shd w:val="clear" w:color="auto" w:fill="auto"/>
            <w:vAlign w:val="bottom"/>
          </w:tcPr>
          <w:p w14:paraId="30016F62" w14:textId="1E71CCC2" w:rsidR="00490C7E" w:rsidRPr="00490C7E" w:rsidRDefault="00490C7E" w:rsidP="00490C7E">
            <w:pPr>
              <w:pStyle w:val="DRFinancialStatements"/>
              <w:ind w:right="108"/>
              <w:jc w:val="right"/>
              <w:rPr>
                <w:rFonts w:ascii="Times New Roman" w:hAnsi="Times New Roman"/>
                <w:bCs/>
                <w:lang w:val="en-US"/>
              </w:rPr>
            </w:pPr>
            <w:r w:rsidRPr="00490C7E">
              <w:rPr>
                <w:rFonts w:ascii="Times New Roman" w:hAnsi="Times New Roman"/>
                <w:bCs/>
                <w:lang w:val="en-US"/>
              </w:rPr>
              <w:t>289,035</w:t>
            </w:r>
          </w:p>
        </w:tc>
      </w:tr>
      <w:tr w:rsidR="00FF55CC" w:rsidRPr="000206BE" w14:paraId="491235A1" w14:textId="77777777" w:rsidTr="005D1ED8">
        <w:trPr>
          <w:trHeight w:val="288"/>
        </w:trPr>
        <w:tc>
          <w:tcPr>
            <w:tcW w:w="5498" w:type="dxa"/>
            <w:shd w:val="clear" w:color="auto" w:fill="auto"/>
            <w:vAlign w:val="bottom"/>
          </w:tcPr>
          <w:p w14:paraId="437D4693" w14:textId="6D37E050" w:rsidR="00FF55CC" w:rsidRPr="008F2CBE" w:rsidRDefault="00FF55CC" w:rsidP="00490C7E">
            <w:pPr>
              <w:pStyle w:val="DRFinancialStatements"/>
              <w:tabs>
                <w:tab w:val="left" w:pos="342"/>
                <w:tab w:val="left" w:pos="702"/>
                <w:tab w:val="right" w:pos="5556"/>
              </w:tabs>
              <w:ind w:left="180"/>
              <w:rPr>
                <w:rFonts w:ascii="Times New Roman" w:hAnsi="Times New Roman"/>
                <w:lang w:val="en-US"/>
              </w:rPr>
            </w:pPr>
            <w:r>
              <w:rPr>
                <w:rFonts w:ascii="Times New Roman" w:hAnsi="Times New Roman"/>
                <w:lang w:val="en-US"/>
              </w:rPr>
              <w:t>Promissory note receivable</w:t>
            </w:r>
            <w:r w:rsidR="001B5D5F">
              <w:rPr>
                <w:rFonts w:ascii="Times New Roman" w:hAnsi="Times New Roman"/>
                <w:lang w:val="en-US"/>
              </w:rPr>
              <w:t xml:space="preserve"> </w:t>
            </w:r>
            <w:r w:rsidR="001B5D5F" w:rsidRPr="00E27D83">
              <w:rPr>
                <w:rFonts w:ascii="Times New Roman" w:hAnsi="Times New Roman"/>
                <w:i/>
                <w:iCs/>
                <w:lang w:val="en-US"/>
              </w:rPr>
              <w:t xml:space="preserve">(Note </w:t>
            </w:r>
            <w:r w:rsidR="001B5D5F">
              <w:rPr>
                <w:rFonts w:ascii="Times New Roman" w:hAnsi="Times New Roman"/>
                <w:i/>
                <w:iCs/>
                <w:lang w:val="en-US"/>
              </w:rPr>
              <w:t>14</w:t>
            </w:r>
            <w:r w:rsidR="001B5D5F" w:rsidRPr="00E27D83">
              <w:rPr>
                <w:rFonts w:ascii="Times New Roman" w:hAnsi="Times New Roman"/>
                <w:i/>
                <w:iCs/>
                <w:lang w:val="en-US"/>
              </w:rPr>
              <w:t>)</w:t>
            </w:r>
          </w:p>
        </w:tc>
        <w:tc>
          <w:tcPr>
            <w:tcW w:w="1931" w:type="dxa"/>
            <w:shd w:val="clear" w:color="auto" w:fill="auto"/>
            <w:vAlign w:val="bottom"/>
          </w:tcPr>
          <w:p w14:paraId="38094906" w14:textId="49727DA0" w:rsidR="00FF55CC" w:rsidRDefault="00FF55CC" w:rsidP="00490C7E">
            <w:pPr>
              <w:pStyle w:val="DRFinancialStatements"/>
              <w:tabs>
                <w:tab w:val="decimal" w:pos="1206"/>
              </w:tabs>
              <w:ind w:right="108"/>
              <w:jc w:val="right"/>
              <w:rPr>
                <w:rFonts w:ascii="Times New Roman" w:hAnsi="Times New Roman"/>
                <w:b/>
                <w:lang w:val="en-US"/>
              </w:rPr>
            </w:pPr>
            <w:r>
              <w:rPr>
                <w:rFonts w:ascii="Times New Roman" w:hAnsi="Times New Roman"/>
                <w:b/>
                <w:lang w:val="en-US"/>
              </w:rPr>
              <w:t>75,000</w:t>
            </w:r>
          </w:p>
        </w:tc>
        <w:tc>
          <w:tcPr>
            <w:tcW w:w="1931" w:type="dxa"/>
            <w:shd w:val="clear" w:color="auto" w:fill="auto"/>
            <w:vAlign w:val="bottom"/>
          </w:tcPr>
          <w:p w14:paraId="574339EE" w14:textId="484A508F" w:rsidR="00FF55CC" w:rsidRPr="00490C7E" w:rsidRDefault="00FF55CC" w:rsidP="00490C7E">
            <w:pPr>
              <w:pStyle w:val="DRFinancialStatements"/>
              <w:ind w:right="108"/>
              <w:jc w:val="right"/>
              <w:rPr>
                <w:rFonts w:ascii="Times New Roman" w:hAnsi="Times New Roman"/>
                <w:bCs/>
                <w:lang w:val="en-US"/>
              </w:rPr>
            </w:pPr>
            <w:r>
              <w:rPr>
                <w:rFonts w:ascii="Times New Roman" w:hAnsi="Times New Roman"/>
                <w:bCs/>
                <w:lang w:val="en-US"/>
              </w:rPr>
              <w:t>-</w:t>
            </w:r>
          </w:p>
        </w:tc>
      </w:tr>
      <w:tr w:rsidR="00490C7E" w:rsidRPr="000206BE" w14:paraId="73588D6E" w14:textId="77777777" w:rsidTr="005D1ED8">
        <w:trPr>
          <w:trHeight w:val="288"/>
        </w:trPr>
        <w:tc>
          <w:tcPr>
            <w:tcW w:w="5498" w:type="dxa"/>
            <w:tcBorders>
              <w:bottom w:val="single" w:sz="4" w:space="0" w:color="auto"/>
            </w:tcBorders>
            <w:shd w:val="clear" w:color="auto" w:fill="auto"/>
            <w:vAlign w:val="bottom"/>
          </w:tcPr>
          <w:p w14:paraId="114F23B1" w14:textId="77777777" w:rsidR="00490C7E" w:rsidRPr="000206BE" w:rsidRDefault="00490C7E" w:rsidP="00490C7E">
            <w:pPr>
              <w:pStyle w:val="DRFinancialStatements"/>
              <w:tabs>
                <w:tab w:val="left" w:pos="342"/>
                <w:tab w:val="left" w:pos="702"/>
                <w:tab w:val="right" w:pos="5556"/>
              </w:tabs>
              <w:ind w:left="180"/>
              <w:rPr>
                <w:rFonts w:ascii="Times New Roman" w:hAnsi="Times New Roman"/>
                <w:lang w:val="en-US"/>
              </w:rPr>
            </w:pPr>
            <w:r w:rsidRPr="000206BE">
              <w:rPr>
                <w:rFonts w:ascii="Times New Roman" w:hAnsi="Times New Roman"/>
                <w:lang w:val="en-US"/>
              </w:rPr>
              <w:t>Prepaid expenses</w:t>
            </w:r>
          </w:p>
        </w:tc>
        <w:tc>
          <w:tcPr>
            <w:tcW w:w="1931" w:type="dxa"/>
            <w:tcBorders>
              <w:bottom w:val="single" w:sz="4" w:space="0" w:color="auto"/>
            </w:tcBorders>
            <w:shd w:val="clear" w:color="auto" w:fill="auto"/>
            <w:vAlign w:val="bottom"/>
          </w:tcPr>
          <w:p w14:paraId="2418EFE1" w14:textId="5B586026" w:rsidR="00490C7E" w:rsidRPr="00A62554" w:rsidRDefault="00FF55CC" w:rsidP="00490C7E">
            <w:pPr>
              <w:pStyle w:val="DRFinancialStatements"/>
              <w:tabs>
                <w:tab w:val="decimal" w:pos="1206"/>
              </w:tabs>
              <w:ind w:right="108"/>
              <w:jc w:val="right"/>
              <w:rPr>
                <w:rFonts w:ascii="Times New Roman" w:hAnsi="Times New Roman"/>
                <w:b/>
                <w:lang w:val="en-US"/>
              </w:rPr>
            </w:pPr>
            <w:r>
              <w:rPr>
                <w:rFonts w:ascii="Times New Roman" w:hAnsi="Times New Roman"/>
                <w:b/>
                <w:lang w:val="en-US"/>
              </w:rPr>
              <w:t>-</w:t>
            </w:r>
          </w:p>
        </w:tc>
        <w:tc>
          <w:tcPr>
            <w:tcW w:w="1931" w:type="dxa"/>
            <w:tcBorders>
              <w:bottom w:val="single" w:sz="4" w:space="0" w:color="auto"/>
            </w:tcBorders>
            <w:shd w:val="clear" w:color="auto" w:fill="auto"/>
            <w:vAlign w:val="bottom"/>
          </w:tcPr>
          <w:p w14:paraId="6BB75584" w14:textId="4FEC6D22" w:rsidR="00490C7E" w:rsidRPr="00490C7E" w:rsidRDefault="00490C7E" w:rsidP="00490C7E">
            <w:pPr>
              <w:pStyle w:val="DRFinancialStatements"/>
              <w:ind w:right="108"/>
              <w:jc w:val="right"/>
              <w:rPr>
                <w:rFonts w:ascii="Times New Roman" w:hAnsi="Times New Roman"/>
                <w:bCs/>
                <w:lang w:val="en-US"/>
              </w:rPr>
            </w:pPr>
            <w:r w:rsidRPr="00490C7E">
              <w:rPr>
                <w:rFonts w:ascii="Times New Roman" w:hAnsi="Times New Roman"/>
                <w:bCs/>
                <w:lang w:val="en-US"/>
              </w:rPr>
              <w:t>7,521</w:t>
            </w:r>
          </w:p>
        </w:tc>
      </w:tr>
      <w:tr w:rsidR="00490C7E" w:rsidRPr="000206BE" w14:paraId="4DE0F3EB" w14:textId="77777777" w:rsidTr="005D1ED8">
        <w:trPr>
          <w:trHeight w:val="288"/>
        </w:trPr>
        <w:tc>
          <w:tcPr>
            <w:tcW w:w="5498" w:type="dxa"/>
            <w:tcBorders>
              <w:top w:val="single" w:sz="4" w:space="0" w:color="auto"/>
            </w:tcBorders>
            <w:shd w:val="clear" w:color="auto" w:fill="auto"/>
            <w:vAlign w:val="bottom"/>
          </w:tcPr>
          <w:p w14:paraId="2736A521" w14:textId="77777777" w:rsidR="00490C7E" w:rsidRPr="000206BE" w:rsidRDefault="00490C7E" w:rsidP="00490C7E">
            <w:pPr>
              <w:pStyle w:val="DRFinancialStatements"/>
              <w:tabs>
                <w:tab w:val="left" w:pos="342"/>
                <w:tab w:val="left" w:pos="702"/>
                <w:tab w:val="right" w:pos="5556"/>
              </w:tabs>
              <w:ind w:left="180"/>
              <w:rPr>
                <w:rFonts w:ascii="Times New Roman" w:hAnsi="Times New Roman"/>
                <w:lang w:val="en-US"/>
              </w:rPr>
            </w:pPr>
          </w:p>
        </w:tc>
        <w:tc>
          <w:tcPr>
            <w:tcW w:w="1931" w:type="dxa"/>
            <w:tcBorders>
              <w:top w:val="single" w:sz="4" w:space="0" w:color="auto"/>
            </w:tcBorders>
            <w:shd w:val="clear" w:color="auto" w:fill="auto"/>
            <w:vAlign w:val="bottom"/>
          </w:tcPr>
          <w:p w14:paraId="7669B9AD" w14:textId="322C51E4" w:rsidR="00490C7E" w:rsidRPr="00A62554" w:rsidRDefault="00FF55CC" w:rsidP="00490C7E">
            <w:pPr>
              <w:pStyle w:val="DRFinancialStatements"/>
              <w:tabs>
                <w:tab w:val="decimal" w:pos="1206"/>
              </w:tabs>
              <w:ind w:right="108"/>
              <w:jc w:val="right"/>
              <w:rPr>
                <w:rFonts w:ascii="Times New Roman" w:hAnsi="Times New Roman"/>
                <w:b/>
                <w:lang w:val="en-US"/>
              </w:rPr>
            </w:pPr>
            <w:r>
              <w:rPr>
                <w:rFonts w:ascii="Times New Roman" w:hAnsi="Times New Roman"/>
                <w:b/>
                <w:lang w:val="en-US"/>
              </w:rPr>
              <w:t>1,20</w:t>
            </w:r>
            <w:r w:rsidR="00AC7122">
              <w:rPr>
                <w:rFonts w:ascii="Times New Roman" w:hAnsi="Times New Roman"/>
                <w:b/>
                <w:lang w:val="en-US"/>
              </w:rPr>
              <w:t>8,653</w:t>
            </w:r>
          </w:p>
        </w:tc>
        <w:tc>
          <w:tcPr>
            <w:tcW w:w="1931" w:type="dxa"/>
            <w:tcBorders>
              <w:top w:val="single" w:sz="4" w:space="0" w:color="auto"/>
            </w:tcBorders>
            <w:shd w:val="clear" w:color="auto" w:fill="auto"/>
            <w:vAlign w:val="bottom"/>
          </w:tcPr>
          <w:p w14:paraId="5105281E" w14:textId="3C65D40A" w:rsidR="00490C7E" w:rsidRPr="00490C7E" w:rsidRDefault="00490C7E" w:rsidP="00490C7E">
            <w:pPr>
              <w:pStyle w:val="DRFinancialStatements"/>
              <w:ind w:right="108"/>
              <w:jc w:val="right"/>
              <w:rPr>
                <w:rFonts w:ascii="Times New Roman" w:hAnsi="Times New Roman"/>
                <w:bCs/>
                <w:lang w:val="en-US"/>
              </w:rPr>
            </w:pPr>
            <w:r w:rsidRPr="00490C7E">
              <w:rPr>
                <w:rFonts w:ascii="Times New Roman" w:hAnsi="Times New Roman"/>
                <w:bCs/>
                <w:lang w:val="en-US"/>
              </w:rPr>
              <w:t>1,369,541</w:t>
            </w:r>
          </w:p>
        </w:tc>
      </w:tr>
      <w:tr w:rsidR="00490C7E" w:rsidRPr="000206BE" w14:paraId="7E4F3275" w14:textId="77777777" w:rsidTr="005D1ED8">
        <w:trPr>
          <w:trHeight w:val="288"/>
        </w:trPr>
        <w:tc>
          <w:tcPr>
            <w:tcW w:w="5498" w:type="dxa"/>
            <w:shd w:val="clear" w:color="auto" w:fill="auto"/>
            <w:vAlign w:val="bottom"/>
          </w:tcPr>
          <w:p w14:paraId="49FA6339" w14:textId="77777777" w:rsidR="00490C7E" w:rsidRPr="000206BE" w:rsidRDefault="00490C7E" w:rsidP="00490C7E">
            <w:pPr>
              <w:pStyle w:val="DRFinancialStatements"/>
              <w:tabs>
                <w:tab w:val="left" w:pos="342"/>
                <w:tab w:val="left" w:pos="702"/>
              </w:tabs>
              <w:rPr>
                <w:rFonts w:ascii="Times New Roman" w:hAnsi="Times New Roman"/>
                <w:b/>
                <w:lang w:val="en-US"/>
              </w:rPr>
            </w:pPr>
            <w:r w:rsidRPr="000206BE">
              <w:rPr>
                <w:rFonts w:ascii="Times New Roman" w:hAnsi="Times New Roman"/>
                <w:b/>
                <w:lang w:val="en-US"/>
              </w:rPr>
              <w:t>Non-current assets</w:t>
            </w:r>
          </w:p>
        </w:tc>
        <w:tc>
          <w:tcPr>
            <w:tcW w:w="1931" w:type="dxa"/>
            <w:shd w:val="clear" w:color="auto" w:fill="auto"/>
            <w:vAlign w:val="bottom"/>
          </w:tcPr>
          <w:p w14:paraId="25BD6E48" w14:textId="77777777" w:rsidR="00490C7E" w:rsidRPr="00A62554" w:rsidRDefault="00490C7E" w:rsidP="00490C7E">
            <w:pPr>
              <w:pStyle w:val="DRFinancialStatements"/>
              <w:tabs>
                <w:tab w:val="decimal" w:pos="1206"/>
              </w:tabs>
              <w:ind w:right="108"/>
              <w:jc w:val="right"/>
              <w:rPr>
                <w:rFonts w:ascii="Times New Roman" w:hAnsi="Times New Roman"/>
                <w:b/>
                <w:lang w:val="en-US"/>
              </w:rPr>
            </w:pPr>
          </w:p>
        </w:tc>
        <w:tc>
          <w:tcPr>
            <w:tcW w:w="1931" w:type="dxa"/>
            <w:shd w:val="clear" w:color="auto" w:fill="auto"/>
            <w:vAlign w:val="bottom"/>
          </w:tcPr>
          <w:p w14:paraId="6F3C7B32" w14:textId="77777777" w:rsidR="00490C7E" w:rsidRPr="00490C7E" w:rsidRDefault="00490C7E" w:rsidP="00490C7E">
            <w:pPr>
              <w:pStyle w:val="DRFinancialStatements"/>
              <w:ind w:right="108"/>
              <w:jc w:val="right"/>
              <w:rPr>
                <w:rFonts w:ascii="Times New Roman" w:hAnsi="Times New Roman"/>
                <w:bCs/>
                <w:lang w:val="en-US"/>
              </w:rPr>
            </w:pPr>
          </w:p>
        </w:tc>
      </w:tr>
      <w:tr w:rsidR="00490C7E" w:rsidRPr="000206BE" w14:paraId="794519C6" w14:textId="77777777" w:rsidTr="005D1ED8">
        <w:trPr>
          <w:trHeight w:val="288"/>
        </w:trPr>
        <w:tc>
          <w:tcPr>
            <w:tcW w:w="5498" w:type="dxa"/>
            <w:tcBorders>
              <w:bottom w:val="single" w:sz="4" w:space="0" w:color="auto"/>
            </w:tcBorders>
            <w:shd w:val="clear" w:color="auto" w:fill="auto"/>
            <w:vAlign w:val="bottom"/>
          </w:tcPr>
          <w:p w14:paraId="3F4FB81A" w14:textId="0BC4E2D2" w:rsidR="00490C7E" w:rsidRPr="000206BE" w:rsidRDefault="00490C7E" w:rsidP="00490C7E">
            <w:pPr>
              <w:pStyle w:val="DRFinancialStatements"/>
              <w:tabs>
                <w:tab w:val="left" w:pos="342"/>
                <w:tab w:val="left" w:pos="702"/>
                <w:tab w:val="right" w:pos="5556"/>
              </w:tabs>
              <w:ind w:left="180"/>
              <w:rPr>
                <w:rFonts w:ascii="Times New Roman" w:hAnsi="Times New Roman"/>
                <w:lang w:val="en-US"/>
              </w:rPr>
            </w:pPr>
            <w:r w:rsidRPr="000206BE">
              <w:rPr>
                <w:rFonts w:ascii="Times New Roman" w:hAnsi="Times New Roman"/>
                <w:lang w:val="en-US"/>
              </w:rPr>
              <w:t xml:space="preserve">Exploration and evaluation assets </w:t>
            </w:r>
            <w:r w:rsidRPr="000206BE">
              <w:rPr>
                <w:rFonts w:ascii="Times New Roman" w:hAnsi="Times New Roman"/>
                <w:i/>
                <w:lang w:val="en-US"/>
              </w:rPr>
              <w:t>(note</w:t>
            </w:r>
            <w:r>
              <w:rPr>
                <w:rFonts w:ascii="Times New Roman" w:hAnsi="Times New Roman"/>
                <w:i/>
                <w:lang w:val="en-US"/>
              </w:rPr>
              <w:t>s 4 and 5</w:t>
            </w:r>
            <w:r w:rsidRPr="000206BE">
              <w:rPr>
                <w:rFonts w:ascii="Times New Roman" w:hAnsi="Times New Roman"/>
                <w:i/>
                <w:lang w:val="en-US"/>
              </w:rPr>
              <w:t>)</w:t>
            </w:r>
            <w:r w:rsidRPr="000206BE">
              <w:rPr>
                <w:rFonts w:ascii="Times New Roman" w:hAnsi="Times New Roman"/>
                <w:lang w:val="en-US"/>
              </w:rPr>
              <w:t xml:space="preserve"> </w:t>
            </w:r>
          </w:p>
        </w:tc>
        <w:tc>
          <w:tcPr>
            <w:tcW w:w="1931" w:type="dxa"/>
            <w:tcBorders>
              <w:bottom w:val="single" w:sz="4" w:space="0" w:color="auto"/>
            </w:tcBorders>
            <w:shd w:val="clear" w:color="auto" w:fill="auto"/>
            <w:vAlign w:val="bottom"/>
          </w:tcPr>
          <w:p w14:paraId="70569230" w14:textId="756B09EC" w:rsidR="00490C7E" w:rsidRPr="00A62554" w:rsidRDefault="00FF55CC" w:rsidP="00490C7E">
            <w:pPr>
              <w:pStyle w:val="DRFinancialStatements"/>
              <w:tabs>
                <w:tab w:val="decimal" w:pos="1206"/>
              </w:tabs>
              <w:ind w:right="108"/>
              <w:jc w:val="right"/>
              <w:rPr>
                <w:rFonts w:ascii="Times New Roman" w:hAnsi="Times New Roman"/>
                <w:b/>
                <w:lang w:val="en-US"/>
              </w:rPr>
            </w:pPr>
            <w:r>
              <w:rPr>
                <w:rFonts w:ascii="Times New Roman" w:hAnsi="Times New Roman"/>
                <w:b/>
                <w:lang w:val="en-US"/>
              </w:rPr>
              <w:t>14,572,857</w:t>
            </w:r>
          </w:p>
        </w:tc>
        <w:tc>
          <w:tcPr>
            <w:tcW w:w="1931" w:type="dxa"/>
            <w:tcBorders>
              <w:bottom w:val="single" w:sz="4" w:space="0" w:color="auto"/>
            </w:tcBorders>
            <w:shd w:val="clear" w:color="auto" w:fill="auto"/>
            <w:vAlign w:val="bottom"/>
          </w:tcPr>
          <w:p w14:paraId="443325FC" w14:textId="5619BB98" w:rsidR="00490C7E" w:rsidRPr="00490C7E" w:rsidRDefault="00490C7E" w:rsidP="00490C7E">
            <w:pPr>
              <w:pStyle w:val="DRFinancialStatements"/>
              <w:ind w:right="108"/>
              <w:jc w:val="right"/>
              <w:rPr>
                <w:rFonts w:ascii="Times New Roman" w:hAnsi="Times New Roman"/>
                <w:bCs/>
                <w:lang w:val="en-US"/>
              </w:rPr>
            </w:pPr>
            <w:r w:rsidRPr="00490C7E">
              <w:rPr>
                <w:rFonts w:ascii="Times New Roman" w:hAnsi="Times New Roman"/>
                <w:bCs/>
                <w:lang w:val="en-US"/>
              </w:rPr>
              <w:t>14,473,419</w:t>
            </w:r>
          </w:p>
        </w:tc>
      </w:tr>
      <w:tr w:rsidR="00490C7E" w:rsidRPr="000206BE" w14:paraId="7C6E7642" w14:textId="77777777" w:rsidTr="005D1ED8">
        <w:trPr>
          <w:trHeight w:val="360"/>
        </w:trPr>
        <w:tc>
          <w:tcPr>
            <w:tcW w:w="5498" w:type="dxa"/>
            <w:tcBorders>
              <w:top w:val="single" w:sz="4" w:space="0" w:color="auto"/>
              <w:bottom w:val="double" w:sz="4" w:space="0" w:color="000000"/>
            </w:tcBorders>
            <w:shd w:val="clear" w:color="auto" w:fill="auto"/>
            <w:vAlign w:val="bottom"/>
          </w:tcPr>
          <w:p w14:paraId="6AFAA9FA" w14:textId="77777777" w:rsidR="00490C7E" w:rsidRPr="000206BE" w:rsidRDefault="00490C7E" w:rsidP="00490C7E">
            <w:pPr>
              <w:pStyle w:val="DRFinancialStatements"/>
              <w:tabs>
                <w:tab w:val="left" w:pos="342"/>
                <w:tab w:val="left" w:pos="702"/>
              </w:tabs>
              <w:rPr>
                <w:rFonts w:ascii="Times New Roman" w:hAnsi="Times New Roman"/>
                <w:lang w:val="en-US"/>
              </w:rPr>
            </w:pPr>
            <w:r w:rsidRPr="000206BE">
              <w:rPr>
                <w:rFonts w:ascii="Times New Roman" w:hAnsi="Times New Roman"/>
                <w:b/>
                <w:lang w:val="en-US"/>
              </w:rPr>
              <w:t>Total assets</w:t>
            </w:r>
          </w:p>
        </w:tc>
        <w:tc>
          <w:tcPr>
            <w:tcW w:w="1931" w:type="dxa"/>
            <w:tcBorders>
              <w:top w:val="single" w:sz="4" w:space="0" w:color="auto"/>
              <w:bottom w:val="double" w:sz="4" w:space="0" w:color="000000"/>
            </w:tcBorders>
            <w:shd w:val="clear" w:color="auto" w:fill="auto"/>
            <w:vAlign w:val="bottom"/>
          </w:tcPr>
          <w:p w14:paraId="2D57CF23" w14:textId="694E55F1" w:rsidR="00490C7E" w:rsidRPr="00A62554" w:rsidRDefault="00FF55CC" w:rsidP="00490C7E">
            <w:pPr>
              <w:pStyle w:val="DRFinancialStatements"/>
              <w:tabs>
                <w:tab w:val="decimal" w:pos="1206"/>
              </w:tabs>
              <w:ind w:right="108"/>
              <w:jc w:val="right"/>
              <w:rPr>
                <w:rFonts w:ascii="Times New Roman" w:hAnsi="Times New Roman"/>
                <w:b/>
                <w:lang w:val="en-US"/>
              </w:rPr>
            </w:pPr>
            <w:r>
              <w:rPr>
                <w:rFonts w:ascii="Times New Roman" w:hAnsi="Times New Roman"/>
                <w:b/>
                <w:lang w:val="en-US"/>
              </w:rPr>
              <w:t>15,</w:t>
            </w:r>
            <w:r w:rsidR="00AC7122">
              <w:rPr>
                <w:rFonts w:ascii="Times New Roman" w:hAnsi="Times New Roman"/>
                <w:b/>
                <w:lang w:val="en-US"/>
              </w:rPr>
              <w:t>781,510</w:t>
            </w:r>
          </w:p>
        </w:tc>
        <w:tc>
          <w:tcPr>
            <w:tcW w:w="1931" w:type="dxa"/>
            <w:tcBorders>
              <w:top w:val="single" w:sz="4" w:space="0" w:color="auto"/>
              <w:bottom w:val="double" w:sz="4" w:space="0" w:color="000000"/>
            </w:tcBorders>
            <w:shd w:val="clear" w:color="auto" w:fill="auto"/>
            <w:vAlign w:val="bottom"/>
          </w:tcPr>
          <w:p w14:paraId="1CB23A2C" w14:textId="5FE71895" w:rsidR="00490C7E" w:rsidRPr="00490C7E" w:rsidRDefault="00490C7E" w:rsidP="00490C7E">
            <w:pPr>
              <w:pStyle w:val="DRFinancialStatements"/>
              <w:ind w:right="108"/>
              <w:jc w:val="right"/>
              <w:rPr>
                <w:rFonts w:ascii="Times New Roman" w:hAnsi="Times New Roman"/>
                <w:bCs/>
                <w:lang w:val="en-US"/>
              </w:rPr>
            </w:pPr>
            <w:r w:rsidRPr="00490C7E">
              <w:rPr>
                <w:rFonts w:ascii="Times New Roman" w:hAnsi="Times New Roman"/>
                <w:bCs/>
                <w:lang w:val="en-US"/>
              </w:rPr>
              <w:t>15,842,960</w:t>
            </w:r>
          </w:p>
        </w:tc>
      </w:tr>
      <w:tr w:rsidR="00586E8D" w:rsidRPr="000206BE" w14:paraId="37E3F57B" w14:textId="77777777" w:rsidTr="005D1ED8">
        <w:trPr>
          <w:trHeight w:val="230"/>
        </w:trPr>
        <w:tc>
          <w:tcPr>
            <w:tcW w:w="5498" w:type="dxa"/>
            <w:tcBorders>
              <w:top w:val="double" w:sz="4" w:space="0" w:color="000000"/>
            </w:tcBorders>
            <w:shd w:val="clear" w:color="auto" w:fill="auto"/>
            <w:vAlign w:val="bottom"/>
          </w:tcPr>
          <w:p w14:paraId="34BBBEBC" w14:textId="77777777" w:rsidR="00586E8D" w:rsidRPr="000206BE" w:rsidRDefault="00586E8D" w:rsidP="005D1ED8">
            <w:pPr>
              <w:pStyle w:val="DRFinancialStatements"/>
              <w:tabs>
                <w:tab w:val="left" w:pos="342"/>
                <w:tab w:val="left" w:pos="702"/>
              </w:tabs>
              <w:rPr>
                <w:rFonts w:ascii="Times New Roman" w:hAnsi="Times New Roman"/>
                <w:b/>
                <w:lang w:val="en-US"/>
              </w:rPr>
            </w:pPr>
          </w:p>
          <w:p w14:paraId="2190F669" w14:textId="77777777" w:rsidR="00586E8D" w:rsidRPr="000206BE" w:rsidRDefault="00586E8D" w:rsidP="005D1ED8">
            <w:pPr>
              <w:pStyle w:val="DRFinancialStatements"/>
              <w:tabs>
                <w:tab w:val="left" w:pos="342"/>
                <w:tab w:val="left" w:pos="702"/>
              </w:tabs>
              <w:rPr>
                <w:rFonts w:ascii="Times New Roman" w:hAnsi="Times New Roman"/>
                <w:lang w:val="en-US"/>
              </w:rPr>
            </w:pPr>
            <w:r w:rsidRPr="000206BE">
              <w:rPr>
                <w:rFonts w:ascii="Times New Roman" w:hAnsi="Times New Roman"/>
                <w:b/>
                <w:lang w:val="en-US"/>
              </w:rPr>
              <w:t xml:space="preserve">Liabilities </w:t>
            </w:r>
          </w:p>
        </w:tc>
        <w:tc>
          <w:tcPr>
            <w:tcW w:w="1931" w:type="dxa"/>
            <w:tcBorders>
              <w:top w:val="double" w:sz="4" w:space="0" w:color="000000"/>
            </w:tcBorders>
            <w:shd w:val="clear" w:color="auto" w:fill="auto"/>
            <w:vAlign w:val="bottom"/>
          </w:tcPr>
          <w:p w14:paraId="5149D1E4" w14:textId="77777777" w:rsidR="00586E8D" w:rsidRPr="00A62554" w:rsidRDefault="00586E8D" w:rsidP="005D1ED8">
            <w:pPr>
              <w:pStyle w:val="DRFinancialStatements"/>
              <w:tabs>
                <w:tab w:val="decimal" w:pos="1206"/>
              </w:tabs>
              <w:ind w:right="108"/>
              <w:jc w:val="right"/>
              <w:rPr>
                <w:rFonts w:ascii="Times New Roman" w:hAnsi="Times New Roman"/>
                <w:b/>
                <w:lang w:val="en-US"/>
              </w:rPr>
            </w:pPr>
          </w:p>
        </w:tc>
        <w:tc>
          <w:tcPr>
            <w:tcW w:w="1931" w:type="dxa"/>
            <w:tcBorders>
              <w:top w:val="double" w:sz="4" w:space="0" w:color="000000"/>
            </w:tcBorders>
            <w:shd w:val="clear" w:color="auto" w:fill="auto"/>
            <w:vAlign w:val="bottom"/>
          </w:tcPr>
          <w:p w14:paraId="1805F711" w14:textId="77777777" w:rsidR="00586E8D" w:rsidRPr="00586E8D" w:rsidRDefault="00586E8D" w:rsidP="005D1ED8">
            <w:pPr>
              <w:pStyle w:val="DRFinancialStatements"/>
              <w:ind w:right="108"/>
              <w:jc w:val="right"/>
              <w:rPr>
                <w:rFonts w:ascii="Times New Roman" w:hAnsi="Times New Roman"/>
                <w:bCs/>
                <w:lang w:val="en-US"/>
              </w:rPr>
            </w:pPr>
          </w:p>
        </w:tc>
      </w:tr>
      <w:tr w:rsidR="00586E8D" w:rsidRPr="000206BE" w14:paraId="02531595" w14:textId="77777777" w:rsidTr="005D1ED8">
        <w:trPr>
          <w:trHeight w:val="288"/>
        </w:trPr>
        <w:tc>
          <w:tcPr>
            <w:tcW w:w="5498" w:type="dxa"/>
            <w:shd w:val="clear" w:color="auto" w:fill="auto"/>
            <w:vAlign w:val="bottom"/>
          </w:tcPr>
          <w:p w14:paraId="3F4D5343" w14:textId="77777777" w:rsidR="00586E8D" w:rsidRPr="000206BE" w:rsidRDefault="00586E8D" w:rsidP="005D1ED8">
            <w:pPr>
              <w:pStyle w:val="DRFinancialStatements"/>
              <w:tabs>
                <w:tab w:val="left" w:pos="342"/>
                <w:tab w:val="left" w:pos="702"/>
              </w:tabs>
              <w:rPr>
                <w:rFonts w:ascii="Times New Roman" w:hAnsi="Times New Roman"/>
                <w:lang w:val="en-US"/>
              </w:rPr>
            </w:pPr>
            <w:r w:rsidRPr="000206BE">
              <w:rPr>
                <w:rFonts w:ascii="Times New Roman" w:hAnsi="Times New Roman"/>
                <w:b/>
                <w:lang w:val="en-US"/>
              </w:rPr>
              <w:t>Current liabilities</w:t>
            </w:r>
          </w:p>
        </w:tc>
        <w:tc>
          <w:tcPr>
            <w:tcW w:w="1931" w:type="dxa"/>
            <w:shd w:val="clear" w:color="auto" w:fill="auto"/>
            <w:vAlign w:val="bottom"/>
          </w:tcPr>
          <w:p w14:paraId="14801A8B" w14:textId="77777777" w:rsidR="00586E8D" w:rsidRPr="00A62554" w:rsidRDefault="00586E8D" w:rsidP="005D1ED8">
            <w:pPr>
              <w:pStyle w:val="DRFinancialStatements"/>
              <w:tabs>
                <w:tab w:val="decimal" w:pos="1206"/>
              </w:tabs>
              <w:ind w:right="108"/>
              <w:jc w:val="right"/>
              <w:rPr>
                <w:rFonts w:ascii="Times New Roman" w:hAnsi="Times New Roman"/>
                <w:b/>
                <w:lang w:val="en-US"/>
              </w:rPr>
            </w:pPr>
          </w:p>
        </w:tc>
        <w:tc>
          <w:tcPr>
            <w:tcW w:w="1931" w:type="dxa"/>
            <w:shd w:val="clear" w:color="auto" w:fill="auto"/>
            <w:vAlign w:val="bottom"/>
          </w:tcPr>
          <w:p w14:paraId="1186FAE0" w14:textId="77777777" w:rsidR="00586E8D" w:rsidRPr="00586E8D" w:rsidRDefault="00586E8D" w:rsidP="005D1ED8">
            <w:pPr>
              <w:pStyle w:val="DRFinancialStatements"/>
              <w:ind w:right="108"/>
              <w:jc w:val="right"/>
              <w:rPr>
                <w:rFonts w:ascii="Times New Roman" w:hAnsi="Times New Roman"/>
                <w:bCs/>
                <w:lang w:val="en-US"/>
              </w:rPr>
            </w:pPr>
          </w:p>
        </w:tc>
      </w:tr>
      <w:tr w:rsidR="00490C7E" w:rsidRPr="000206BE" w14:paraId="3F5FD7D9" w14:textId="77777777" w:rsidTr="005D1ED8">
        <w:trPr>
          <w:trHeight w:val="288"/>
        </w:trPr>
        <w:tc>
          <w:tcPr>
            <w:tcW w:w="5498" w:type="dxa"/>
            <w:shd w:val="clear" w:color="auto" w:fill="auto"/>
            <w:vAlign w:val="bottom"/>
          </w:tcPr>
          <w:p w14:paraId="486F9D11" w14:textId="63046F59" w:rsidR="00490C7E" w:rsidRPr="000206BE" w:rsidRDefault="00490C7E" w:rsidP="00490C7E">
            <w:pPr>
              <w:pStyle w:val="DRFinancialStatements"/>
              <w:tabs>
                <w:tab w:val="right" w:pos="5655"/>
              </w:tabs>
              <w:ind w:left="180"/>
              <w:rPr>
                <w:rFonts w:ascii="Times New Roman" w:hAnsi="Times New Roman"/>
                <w:lang w:val="en-US"/>
              </w:rPr>
            </w:pPr>
            <w:r w:rsidRPr="000206BE">
              <w:rPr>
                <w:rFonts w:ascii="Times New Roman" w:hAnsi="Times New Roman"/>
                <w:lang w:val="en-US"/>
              </w:rPr>
              <w:t xml:space="preserve">Accounts payable and accrued liabilities </w:t>
            </w:r>
            <w:r w:rsidRPr="000206BE">
              <w:rPr>
                <w:rFonts w:ascii="Times New Roman" w:hAnsi="Times New Roman"/>
                <w:i/>
                <w:lang w:val="en-US"/>
              </w:rPr>
              <w:t>(notes</w:t>
            </w:r>
            <w:r>
              <w:rPr>
                <w:rFonts w:ascii="Times New Roman" w:hAnsi="Times New Roman"/>
                <w:i/>
                <w:lang w:val="en-US"/>
              </w:rPr>
              <w:t xml:space="preserve"> 4,</w:t>
            </w:r>
            <w:r w:rsidRPr="000206BE">
              <w:rPr>
                <w:rFonts w:ascii="Times New Roman" w:hAnsi="Times New Roman"/>
                <w:i/>
                <w:lang w:val="en-US"/>
              </w:rPr>
              <w:t xml:space="preserve"> </w:t>
            </w:r>
            <w:r>
              <w:rPr>
                <w:rFonts w:ascii="Times New Roman" w:hAnsi="Times New Roman"/>
                <w:i/>
                <w:lang w:val="en-US"/>
              </w:rPr>
              <w:t>6</w:t>
            </w:r>
            <w:r w:rsidRPr="000206BE">
              <w:rPr>
                <w:rFonts w:ascii="Times New Roman" w:hAnsi="Times New Roman"/>
                <w:i/>
                <w:lang w:val="en-US"/>
              </w:rPr>
              <w:t xml:space="preserve"> and </w:t>
            </w:r>
            <w:r>
              <w:rPr>
                <w:rFonts w:ascii="Times New Roman" w:hAnsi="Times New Roman"/>
                <w:i/>
                <w:lang w:val="en-US"/>
              </w:rPr>
              <w:t>10</w:t>
            </w:r>
            <w:r w:rsidRPr="000206BE">
              <w:rPr>
                <w:rFonts w:ascii="Times New Roman" w:hAnsi="Times New Roman"/>
                <w:i/>
                <w:lang w:val="en-US"/>
              </w:rPr>
              <w:t>)</w:t>
            </w:r>
          </w:p>
        </w:tc>
        <w:tc>
          <w:tcPr>
            <w:tcW w:w="1931" w:type="dxa"/>
            <w:shd w:val="clear" w:color="auto" w:fill="auto"/>
            <w:vAlign w:val="bottom"/>
          </w:tcPr>
          <w:p w14:paraId="7CE967E5" w14:textId="50EFC6C2" w:rsidR="00490C7E" w:rsidRPr="00A62554" w:rsidRDefault="00FF55CC" w:rsidP="00490C7E">
            <w:pPr>
              <w:pStyle w:val="DRFinancialStatements"/>
              <w:tabs>
                <w:tab w:val="decimal" w:pos="1206"/>
              </w:tabs>
              <w:ind w:right="108"/>
              <w:jc w:val="right"/>
              <w:rPr>
                <w:rFonts w:ascii="Times New Roman" w:hAnsi="Times New Roman"/>
                <w:b/>
                <w:lang w:val="en-US"/>
              </w:rPr>
            </w:pPr>
            <w:r>
              <w:rPr>
                <w:rFonts w:ascii="Times New Roman" w:hAnsi="Times New Roman"/>
                <w:b/>
                <w:lang w:val="en-US"/>
              </w:rPr>
              <w:t>634,021</w:t>
            </w:r>
          </w:p>
        </w:tc>
        <w:tc>
          <w:tcPr>
            <w:tcW w:w="1931" w:type="dxa"/>
            <w:shd w:val="clear" w:color="auto" w:fill="auto"/>
            <w:vAlign w:val="bottom"/>
          </w:tcPr>
          <w:p w14:paraId="2143C16B" w14:textId="0771C822" w:rsidR="00490C7E" w:rsidRPr="00490C7E" w:rsidRDefault="00490C7E" w:rsidP="00490C7E">
            <w:pPr>
              <w:pStyle w:val="DRFinancialStatements"/>
              <w:ind w:right="108"/>
              <w:jc w:val="right"/>
              <w:rPr>
                <w:rFonts w:ascii="Times New Roman" w:hAnsi="Times New Roman"/>
                <w:bCs/>
                <w:lang w:val="en-US"/>
              </w:rPr>
            </w:pPr>
            <w:r w:rsidRPr="00490C7E">
              <w:rPr>
                <w:rFonts w:ascii="Times New Roman" w:hAnsi="Times New Roman"/>
                <w:bCs/>
                <w:lang w:val="en-US"/>
              </w:rPr>
              <w:t>613,730</w:t>
            </w:r>
          </w:p>
        </w:tc>
      </w:tr>
      <w:tr w:rsidR="00490C7E" w:rsidRPr="000206BE" w14:paraId="1916BBFB" w14:textId="77777777" w:rsidTr="005D1ED8">
        <w:trPr>
          <w:trHeight w:val="288"/>
        </w:trPr>
        <w:tc>
          <w:tcPr>
            <w:tcW w:w="5498" w:type="dxa"/>
            <w:shd w:val="clear" w:color="auto" w:fill="auto"/>
            <w:vAlign w:val="bottom"/>
          </w:tcPr>
          <w:p w14:paraId="5AE87F97" w14:textId="5C9A3397" w:rsidR="00490C7E" w:rsidRPr="000206BE" w:rsidRDefault="00490C7E" w:rsidP="00490C7E">
            <w:pPr>
              <w:pStyle w:val="DRFinancialStatements"/>
              <w:tabs>
                <w:tab w:val="right" w:pos="5655"/>
              </w:tabs>
              <w:ind w:left="180"/>
              <w:rPr>
                <w:rFonts w:ascii="Times New Roman" w:hAnsi="Times New Roman"/>
                <w:lang w:val="en-US"/>
              </w:rPr>
            </w:pPr>
            <w:r w:rsidRPr="000206BE">
              <w:rPr>
                <w:rFonts w:ascii="Times New Roman" w:hAnsi="Times New Roman"/>
                <w:lang w:val="en-US"/>
              </w:rPr>
              <w:t>Flow through liability</w:t>
            </w:r>
            <w:r>
              <w:rPr>
                <w:rFonts w:ascii="Times New Roman" w:hAnsi="Times New Roman"/>
                <w:lang w:val="en-US"/>
              </w:rPr>
              <w:t xml:space="preserve"> </w:t>
            </w:r>
            <w:r w:rsidRPr="007F45ED">
              <w:rPr>
                <w:rFonts w:ascii="Times New Roman" w:hAnsi="Times New Roman"/>
                <w:i/>
                <w:lang w:val="en-US"/>
              </w:rPr>
              <w:t>(note</w:t>
            </w:r>
            <w:r>
              <w:rPr>
                <w:rFonts w:ascii="Times New Roman" w:hAnsi="Times New Roman"/>
                <w:i/>
                <w:lang w:val="en-US"/>
              </w:rPr>
              <w:t xml:space="preserve"> 11</w:t>
            </w:r>
            <w:r w:rsidRPr="007F45ED">
              <w:rPr>
                <w:rFonts w:ascii="Times New Roman" w:hAnsi="Times New Roman"/>
                <w:i/>
                <w:lang w:val="en-US"/>
              </w:rPr>
              <w:t>)</w:t>
            </w:r>
          </w:p>
        </w:tc>
        <w:tc>
          <w:tcPr>
            <w:tcW w:w="1931" w:type="dxa"/>
            <w:shd w:val="clear" w:color="auto" w:fill="auto"/>
            <w:vAlign w:val="bottom"/>
          </w:tcPr>
          <w:p w14:paraId="2473A2F1" w14:textId="39EBAC6B" w:rsidR="00490C7E" w:rsidRPr="00A62554" w:rsidRDefault="00FF55CC" w:rsidP="00490C7E">
            <w:pPr>
              <w:pStyle w:val="DRFinancialStatements"/>
              <w:tabs>
                <w:tab w:val="decimal" w:pos="1206"/>
              </w:tabs>
              <w:ind w:right="108"/>
              <w:jc w:val="right"/>
              <w:rPr>
                <w:rFonts w:ascii="Times New Roman" w:hAnsi="Times New Roman"/>
                <w:b/>
                <w:lang w:val="en-US"/>
              </w:rPr>
            </w:pPr>
            <w:r>
              <w:rPr>
                <w:rFonts w:ascii="Times New Roman" w:hAnsi="Times New Roman"/>
                <w:b/>
                <w:lang w:val="en-US"/>
              </w:rPr>
              <w:t>229,504</w:t>
            </w:r>
          </w:p>
        </w:tc>
        <w:tc>
          <w:tcPr>
            <w:tcW w:w="1931" w:type="dxa"/>
            <w:shd w:val="clear" w:color="auto" w:fill="auto"/>
            <w:vAlign w:val="bottom"/>
          </w:tcPr>
          <w:p w14:paraId="033EBE4A" w14:textId="246A6D35" w:rsidR="00490C7E" w:rsidRPr="00490C7E" w:rsidRDefault="00490C7E" w:rsidP="00490C7E">
            <w:pPr>
              <w:pStyle w:val="DRFinancialStatements"/>
              <w:ind w:right="108"/>
              <w:jc w:val="right"/>
              <w:rPr>
                <w:rFonts w:ascii="Times New Roman" w:hAnsi="Times New Roman"/>
                <w:bCs/>
                <w:lang w:val="en-US"/>
              </w:rPr>
            </w:pPr>
            <w:r w:rsidRPr="00490C7E">
              <w:rPr>
                <w:rFonts w:ascii="Times New Roman" w:hAnsi="Times New Roman"/>
                <w:bCs/>
                <w:lang w:val="en-US"/>
              </w:rPr>
              <w:t>260,705</w:t>
            </w:r>
          </w:p>
        </w:tc>
      </w:tr>
      <w:tr w:rsidR="00490C7E" w:rsidRPr="000206BE" w14:paraId="56D595F3" w14:textId="77777777" w:rsidTr="005D1ED8">
        <w:trPr>
          <w:trHeight w:val="360"/>
        </w:trPr>
        <w:tc>
          <w:tcPr>
            <w:tcW w:w="5498" w:type="dxa"/>
            <w:tcBorders>
              <w:top w:val="single" w:sz="4" w:space="0" w:color="auto"/>
              <w:bottom w:val="single" w:sz="4" w:space="0" w:color="auto"/>
            </w:tcBorders>
            <w:shd w:val="clear" w:color="auto" w:fill="auto"/>
            <w:vAlign w:val="bottom"/>
          </w:tcPr>
          <w:p w14:paraId="18364E47" w14:textId="77777777" w:rsidR="00490C7E" w:rsidRPr="000206BE" w:rsidRDefault="00490C7E" w:rsidP="00490C7E">
            <w:pPr>
              <w:pStyle w:val="DRFinancialStatements"/>
              <w:tabs>
                <w:tab w:val="left" w:pos="342"/>
                <w:tab w:val="left" w:pos="702"/>
              </w:tabs>
              <w:rPr>
                <w:rFonts w:ascii="Times New Roman" w:hAnsi="Times New Roman"/>
                <w:lang w:val="en-US"/>
              </w:rPr>
            </w:pPr>
            <w:r w:rsidRPr="000206BE">
              <w:rPr>
                <w:rFonts w:ascii="Times New Roman" w:hAnsi="Times New Roman"/>
                <w:b/>
                <w:lang w:val="en-US"/>
              </w:rPr>
              <w:t>Total liabilities</w:t>
            </w:r>
          </w:p>
        </w:tc>
        <w:tc>
          <w:tcPr>
            <w:tcW w:w="1931" w:type="dxa"/>
            <w:tcBorders>
              <w:top w:val="single" w:sz="4" w:space="0" w:color="auto"/>
              <w:bottom w:val="single" w:sz="4" w:space="0" w:color="auto"/>
            </w:tcBorders>
            <w:shd w:val="clear" w:color="auto" w:fill="auto"/>
            <w:vAlign w:val="bottom"/>
          </w:tcPr>
          <w:p w14:paraId="7665A5D9" w14:textId="04CE09DE" w:rsidR="00490C7E" w:rsidRPr="00A62554" w:rsidRDefault="006B201C" w:rsidP="00490C7E">
            <w:pPr>
              <w:pStyle w:val="DRFinancialStatements"/>
              <w:tabs>
                <w:tab w:val="decimal" w:pos="1206"/>
              </w:tabs>
              <w:ind w:right="108"/>
              <w:jc w:val="right"/>
              <w:rPr>
                <w:rFonts w:ascii="Times New Roman" w:hAnsi="Times New Roman"/>
                <w:b/>
                <w:lang w:val="en-US"/>
              </w:rPr>
            </w:pPr>
            <w:r>
              <w:rPr>
                <w:rFonts w:ascii="Times New Roman" w:hAnsi="Times New Roman"/>
                <w:b/>
                <w:lang w:val="en-US"/>
              </w:rPr>
              <w:t>863,525</w:t>
            </w:r>
          </w:p>
        </w:tc>
        <w:tc>
          <w:tcPr>
            <w:tcW w:w="1931" w:type="dxa"/>
            <w:tcBorders>
              <w:top w:val="single" w:sz="4" w:space="0" w:color="auto"/>
              <w:bottom w:val="single" w:sz="4" w:space="0" w:color="auto"/>
            </w:tcBorders>
            <w:shd w:val="clear" w:color="auto" w:fill="auto"/>
            <w:vAlign w:val="bottom"/>
          </w:tcPr>
          <w:p w14:paraId="34986E8B" w14:textId="0416866A" w:rsidR="00490C7E" w:rsidRPr="00490C7E" w:rsidRDefault="00490C7E" w:rsidP="00490C7E">
            <w:pPr>
              <w:pStyle w:val="DRFinancialStatements"/>
              <w:ind w:right="108"/>
              <w:jc w:val="right"/>
              <w:rPr>
                <w:rFonts w:ascii="Times New Roman" w:hAnsi="Times New Roman"/>
                <w:bCs/>
                <w:lang w:val="en-US"/>
              </w:rPr>
            </w:pPr>
            <w:r w:rsidRPr="00490C7E">
              <w:rPr>
                <w:rFonts w:ascii="Times New Roman" w:hAnsi="Times New Roman"/>
                <w:bCs/>
                <w:lang w:val="en-US"/>
              </w:rPr>
              <w:t>874,435</w:t>
            </w:r>
          </w:p>
        </w:tc>
      </w:tr>
      <w:tr w:rsidR="00490C7E" w:rsidRPr="000206BE" w14:paraId="619612A9" w14:textId="77777777" w:rsidTr="005D1ED8">
        <w:trPr>
          <w:trHeight w:val="230"/>
        </w:trPr>
        <w:tc>
          <w:tcPr>
            <w:tcW w:w="5498" w:type="dxa"/>
            <w:tcBorders>
              <w:top w:val="single" w:sz="4" w:space="0" w:color="auto"/>
            </w:tcBorders>
            <w:shd w:val="clear" w:color="auto" w:fill="auto"/>
            <w:vAlign w:val="bottom"/>
          </w:tcPr>
          <w:p w14:paraId="5AE661BE" w14:textId="77777777" w:rsidR="00490C7E" w:rsidRPr="000206BE" w:rsidRDefault="00490C7E" w:rsidP="00490C7E">
            <w:pPr>
              <w:pStyle w:val="DRFinancialStatements"/>
              <w:tabs>
                <w:tab w:val="left" w:pos="342"/>
                <w:tab w:val="left" w:pos="702"/>
              </w:tabs>
              <w:rPr>
                <w:rFonts w:ascii="Times New Roman" w:hAnsi="Times New Roman"/>
                <w:lang w:val="en-US"/>
              </w:rPr>
            </w:pPr>
          </w:p>
          <w:p w14:paraId="5340A764" w14:textId="77777777" w:rsidR="00490C7E" w:rsidRPr="000206BE" w:rsidRDefault="00490C7E" w:rsidP="00490C7E">
            <w:pPr>
              <w:pStyle w:val="DRFinancialStatements"/>
              <w:tabs>
                <w:tab w:val="left" w:pos="342"/>
                <w:tab w:val="left" w:pos="702"/>
              </w:tabs>
              <w:rPr>
                <w:rFonts w:ascii="Times New Roman" w:hAnsi="Times New Roman"/>
                <w:lang w:val="en-US"/>
              </w:rPr>
            </w:pPr>
            <w:r w:rsidRPr="000206BE">
              <w:rPr>
                <w:rFonts w:ascii="Times New Roman" w:hAnsi="Times New Roman"/>
                <w:b/>
                <w:lang w:val="en-US"/>
              </w:rPr>
              <w:t>Shareholders’ Equity</w:t>
            </w:r>
          </w:p>
        </w:tc>
        <w:tc>
          <w:tcPr>
            <w:tcW w:w="1931" w:type="dxa"/>
            <w:tcBorders>
              <w:top w:val="single" w:sz="4" w:space="0" w:color="auto"/>
            </w:tcBorders>
            <w:shd w:val="clear" w:color="auto" w:fill="auto"/>
            <w:vAlign w:val="bottom"/>
          </w:tcPr>
          <w:p w14:paraId="72627A59" w14:textId="77777777" w:rsidR="00490C7E" w:rsidRPr="00A62554" w:rsidRDefault="00490C7E" w:rsidP="00490C7E">
            <w:pPr>
              <w:pStyle w:val="DRFinancialStatements"/>
              <w:tabs>
                <w:tab w:val="decimal" w:pos="1206"/>
              </w:tabs>
              <w:ind w:right="108"/>
              <w:jc w:val="right"/>
              <w:rPr>
                <w:rFonts w:ascii="Times New Roman" w:hAnsi="Times New Roman"/>
                <w:b/>
                <w:lang w:val="en-US"/>
              </w:rPr>
            </w:pPr>
          </w:p>
        </w:tc>
        <w:tc>
          <w:tcPr>
            <w:tcW w:w="1931" w:type="dxa"/>
            <w:tcBorders>
              <w:top w:val="single" w:sz="4" w:space="0" w:color="auto"/>
            </w:tcBorders>
            <w:shd w:val="clear" w:color="auto" w:fill="auto"/>
            <w:vAlign w:val="bottom"/>
          </w:tcPr>
          <w:p w14:paraId="46FC8C10" w14:textId="77777777" w:rsidR="00490C7E" w:rsidRPr="00490C7E" w:rsidRDefault="00490C7E" w:rsidP="00490C7E">
            <w:pPr>
              <w:pStyle w:val="DRFinancialStatements"/>
              <w:ind w:right="108"/>
              <w:jc w:val="right"/>
              <w:rPr>
                <w:rFonts w:ascii="Times New Roman" w:hAnsi="Times New Roman"/>
                <w:bCs/>
                <w:lang w:val="en-US"/>
              </w:rPr>
            </w:pPr>
          </w:p>
        </w:tc>
      </w:tr>
      <w:tr w:rsidR="00490C7E" w:rsidRPr="000206BE" w14:paraId="05FC1EC3" w14:textId="77777777" w:rsidTr="005D1ED8">
        <w:trPr>
          <w:trHeight w:val="288"/>
        </w:trPr>
        <w:tc>
          <w:tcPr>
            <w:tcW w:w="5498" w:type="dxa"/>
            <w:shd w:val="clear" w:color="auto" w:fill="auto"/>
            <w:vAlign w:val="bottom"/>
          </w:tcPr>
          <w:p w14:paraId="5556B6DC" w14:textId="4AABF93C" w:rsidR="00490C7E" w:rsidRPr="000206BE" w:rsidRDefault="00490C7E" w:rsidP="00490C7E">
            <w:pPr>
              <w:pStyle w:val="DRFinancialStatements"/>
              <w:tabs>
                <w:tab w:val="left" w:pos="342"/>
                <w:tab w:val="left" w:pos="702"/>
                <w:tab w:val="right" w:pos="5533"/>
              </w:tabs>
              <w:ind w:left="180"/>
              <w:rPr>
                <w:rFonts w:ascii="Times New Roman" w:hAnsi="Times New Roman"/>
                <w:i/>
                <w:lang w:val="en-US"/>
              </w:rPr>
            </w:pPr>
            <w:r w:rsidRPr="000206BE">
              <w:rPr>
                <w:rFonts w:ascii="Times New Roman" w:hAnsi="Times New Roman"/>
                <w:lang w:val="en-US"/>
              </w:rPr>
              <w:t>Share capital</w:t>
            </w:r>
            <w:r w:rsidRPr="000206BE">
              <w:rPr>
                <w:rFonts w:ascii="Times New Roman" w:hAnsi="Times New Roman"/>
                <w:i/>
                <w:iCs/>
                <w:lang w:val="en-US"/>
              </w:rPr>
              <w:t xml:space="preserve"> (note</w:t>
            </w:r>
            <w:r>
              <w:rPr>
                <w:rFonts w:ascii="Times New Roman" w:hAnsi="Times New Roman"/>
                <w:i/>
                <w:iCs/>
                <w:lang w:val="en-US"/>
              </w:rPr>
              <w:t xml:space="preserve"> 7</w:t>
            </w:r>
            <w:r w:rsidRPr="000206BE">
              <w:rPr>
                <w:rFonts w:ascii="Times New Roman" w:hAnsi="Times New Roman"/>
                <w:i/>
                <w:iCs/>
                <w:lang w:val="en-US"/>
              </w:rPr>
              <w:t>)</w:t>
            </w:r>
          </w:p>
        </w:tc>
        <w:tc>
          <w:tcPr>
            <w:tcW w:w="1931" w:type="dxa"/>
            <w:shd w:val="clear" w:color="auto" w:fill="auto"/>
            <w:vAlign w:val="bottom"/>
          </w:tcPr>
          <w:p w14:paraId="7AB1EB1D" w14:textId="4A76FE17" w:rsidR="00490C7E" w:rsidRPr="00A62554" w:rsidRDefault="006B201C" w:rsidP="00490C7E">
            <w:pPr>
              <w:pStyle w:val="DRFinancialStatements"/>
              <w:tabs>
                <w:tab w:val="decimal" w:pos="1206"/>
              </w:tabs>
              <w:ind w:right="108"/>
              <w:jc w:val="right"/>
              <w:rPr>
                <w:rFonts w:ascii="Times New Roman" w:hAnsi="Times New Roman"/>
                <w:b/>
                <w:lang w:val="en-US"/>
              </w:rPr>
            </w:pPr>
            <w:r>
              <w:rPr>
                <w:rFonts w:ascii="Times New Roman" w:hAnsi="Times New Roman"/>
                <w:b/>
                <w:lang w:val="en-US"/>
              </w:rPr>
              <w:t>34,884,341</w:t>
            </w:r>
          </w:p>
        </w:tc>
        <w:tc>
          <w:tcPr>
            <w:tcW w:w="1931" w:type="dxa"/>
            <w:shd w:val="clear" w:color="auto" w:fill="auto"/>
            <w:vAlign w:val="bottom"/>
          </w:tcPr>
          <w:p w14:paraId="1695A588" w14:textId="014A8380" w:rsidR="00490C7E" w:rsidRPr="00490C7E" w:rsidRDefault="00490C7E" w:rsidP="00490C7E">
            <w:pPr>
              <w:pStyle w:val="DRFinancialStatements"/>
              <w:ind w:right="108"/>
              <w:jc w:val="right"/>
              <w:rPr>
                <w:rFonts w:ascii="Times New Roman" w:hAnsi="Times New Roman"/>
                <w:bCs/>
                <w:lang w:val="en-US"/>
              </w:rPr>
            </w:pPr>
            <w:r w:rsidRPr="00490C7E">
              <w:rPr>
                <w:rFonts w:ascii="Times New Roman" w:hAnsi="Times New Roman"/>
                <w:bCs/>
                <w:lang w:val="en-US"/>
              </w:rPr>
              <w:t>34,855,391</w:t>
            </w:r>
          </w:p>
        </w:tc>
      </w:tr>
      <w:tr w:rsidR="00490C7E" w:rsidRPr="000206BE" w14:paraId="588D2C6F" w14:textId="77777777" w:rsidTr="005D1ED8">
        <w:trPr>
          <w:trHeight w:val="288"/>
        </w:trPr>
        <w:tc>
          <w:tcPr>
            <w:tcW w:w="5498" w:type="dxa"/>
            <w:shd w:val="clear" w:color="auto" w:fill="auto"/>
            <w:vAlign w:val="bottom"/>
          </w:tcPr>
          <w:p w14:paraId="423A242B" w14:textId="42854CB6" w:rsidR="00490C7E" w:rsidRPr="000206BE" w:rsidRDefault="00490C7E" w:rsidP="00490C7E">
            <w:pPr>
              <w:pStyle w:val="DRFinancialStatements"/>
              <w:tabs>
                <w:tab w:val="left" w:pos="342"/>
                <w:tab w:val="left" w:pos="702"/>
                <w:tab w:val="right" w:pos="5533"/>
              </w:tabs>
              <w:ind w:left="180"/>
              <w:rPr>
                <w:rFonts w:ascii="Times New Roman" w:hAnsi="Times New Roman"/>
                <w:lang w:val="en-US"/>
              </w:rPr>
            </w:pPr>
            <w:r w:rsidRPr="000206BE">
              <w:rPr>
                <w:rFonts w:ascii="Times New Roman" w:hAnsi="Times New Roman"/>
                <w:lang w:val="en-US"/>
              </w:rPr>
              <w:t xml:space="preserve">Share-based payment reserve </w:t>
            </w:r>
            <w:r w:rsidRPr="000206BE">
              <w:rPr>
                <w:rFonts w:ascii="Times New Roman" w:hAnsi="Times New Roman"/>
                <w:i/>
                <w:lang w:val="en-US"/>
              </w:rPr>
              <w:t xml:space="preserve">(note </w:t>
            </w:r>
            <w:r>
              <w:rPr>
                <w:rFonts w:ascii="Times New Roman" w:hAnsi="Times New Roman"/>
                <w:i/>
                <w:lang w:val="en-US"/>
              </w:rPr>
              <w:t>7</w:t>
            </w:r>
            <w:r w:rsidRPr="000206BE">
              <w:rPr>
                <w:rFonts w:ascii="Times New Roman" w:hAnsi="Times New Roman"/>
                <w:i/>
                <w:lang w:val="en-US"/>
              </w:rPr>
              <w:t>)</w:t>
            </w:r>
          </w:p>
        </w:tc>
        <w:tc>
          <w:tcPr>
            <w:tcW w:w="1931" w:type="dxa"/>
            <w:shd w:val="clear" w:color="auto" w:fill="auto"/>
            <w:vAlign w:val="bottom"/>
          </w:tcPr>
          <w:p w14:paraId="4B8A6E98" w14:textId="73A3E4B4" w:rsidR="00490C7E" w:rsidRPr="00A62554" w:rsidRDefault="00490C7E" w:rsidP="00490C7E">
            <w:pPr>
              <w:pStyle w:val="DRFinancialStatements"/>
              <w:tabs>
                <w:tab w:val="decimal" w:pos="1206"/>
              </w:tabs>
              <w:ind w:right="108"/>
              <w:jc w:val="right"/>
              <w:rPr>
                <w:rFonts w:ascii="Times New Roman" w:hAnsi="Times New Roman"/>
                <w:b/>
                <w:lang w:val="en-US"/>
              </w:rPr>
            </w:pPr>
            <w:r w:rsidRPr="00A62554">
              <w:rPr>
                <w:rFonts w:ascii="Times New Roman" w:hAnsi="Times New Roman"/>
                <w:b/>
                <w:lang w:val="en-US"/>
              </w:rPr>
              <w:t>3,593,725</w:t>
            </w:r>
          </w:p>
        </w:tc>
        <w:tc>
          <w:tcPr>
            <w:tcW w:w="1931" w:type="dxa"/>
            <w:shd w:val="clear" w:color="auto" w:fill="auto"/>
            <w:vAlign w:val="bottom"/>
          </w:tcPr>
          <w:p w14:paraId="18C1A96B" w14:textId="7647CAC3" w:rsidR="00490C7E" w:rsidRPr="00490C7E" w:rsidRDefault="00490C7E" w:rsidP="00490C7E">
            <w:pPr>
              <w:pStyle w:val="DRFinancialStatements"/>
              <w:ind w:right="108"/>
              <w:jc w:val="right"/>
              <w:rPr>
                <w:rFonts w:ascii="Times New Roman" w:hAnsi="Times New Roman"/>
                <w:bCs/>
                <w:lang w:val="en-US"/>
              </w:rPr>
            </w:pPr>
            <w:r w:rsidRPr="00490C7E">
              <w:rPr>
                <w:rFonts w:ascii="Times New Roman" w:hAnsi="Times New Roman"/>
                <w:bCs/>
                <w:lang w:val="en-US"/>
              </w:rPr>
              <w:t>3,593,725</w:t>
            </w:r>
          </w:p>
        </w:tc>
      </w:tr>
      <w:tr w:rsidR="00490C7E" w:rsidRPr="000206BE" w14:paraId="3893D9F8" w14:textId="77777777" w:rsidTr="005D1ED8">
        <w:trPr>
          <w:trHeight w:val="288"/>
        </w:trPr>
        <w:tc>
          <w:tcPr>
            <w:tcW w:w="5498" w:type="dxa"/>
            <w:tcBorders>
              <w:bottom w:val="single" w:sz="6" w:space="0" w:color="000000"/>
            </w:tcBorders>
            <w:shd w:val="clear" w:color="auto" w:fill="auto"/>
            <w:vAlign w:val="bottom"/>
          </w:tcPr>
          <w:p w14:paraId="3AEE91DD" w14:textId="77777777" w:rsidR="00490C7E" w:rsidRPr="000206BE" w:rsidRDefault="00490C7E" w:rsidP="00490C7E">
            <w:pPr>
              <w:pStyle w:val="DRFinancialStatements"/>
              <w:tabs>
                <w:tab w:val="left" w:pos="342"/>
                <w:tab w:val="left" w:pos="702"/>
                <w:tab w:val="right" w:pos="5533"/>
              </w:tabs>
              <w:ind w:left="180"/>
              <w:rPr>
                <w:rFonts w:ascii="Times New Roman" w:hAnsi="Times New Roman"/>
                <w:lang w:val="en-US"/>
              </w:rPr>
            </w:pPr>
            <w:r w:rsidRPr="000206BE">
              <w:rPr>
                <w:rFonts w:ascii="Times New Roman" w:hAnsi="Times New Roman"/>
                <w:lang w:val="en-US"/>
              </w:rPr>
              <w:t>Deficit</w:t>
            </w:r>
            <w:r w:rsidRPr="000206BE">
              <w:rPr>
                <w:rFonts w:ascii="Times New Roman" w:hAnsi="Times New Roman"/>
                <w:lang w:val="en-US"/>
              </w:rPr>
              <w:tab/>
            </w:r>
          </w:p>
        </w:tc>
        <w:tc>
          <w:tcPr>
            <w:tcW w:w="1931" w:type="dxa"/>
            <w:tcBorders>
              <w:bottom w:val="single" w:sz="6" w:space="0" w:color="000000"/>
            </w:tcBorders>
            <w:shd w:val="clear" w:color="auto" w:fill="auto"/>
            <w:vAlign w:val="bottom"/>
          </w:tcPr>
          <w:p w14:paraId="6D5EA892" w14:textId="7D43EEA4" w:rsidR="00490C7E" w:rsidRPr="00A62554" w:rsidRDefault="006B201C" w:rsidP="00490C7E">
            <w:pPr>
              <w:pStyle w:val="DRFinancialStatements"/>
              <w:tabs>
                <w:tab w:val="decimal" w:pos="1206"/>
              </w:tabs>
              <w:ind w:right="108"/>
              <w:jc w:val="right"/>
              <w:rPr>
                <w:rFonts w:ascii="Times New Roman" w:hAnsi="Times New Roman"/>
                <w:b/>
                <w:lang w:val="en-US"/>
              </w:rPr>
            </w:pPr>
            <w:r>
              <w:rPr>
                <w:rFonts w:ascii="Times New Roman" w:hAnsi="Times New Roman"/>
                <w:b/>
                <w:lang w:val="en-US"/>
              </w:rPr>
              <w:t>(23,56</w:t>
            </w:r>
            <w:r w:rsidR="00AC7122">
              <w:rPr>
                <w:rFonts w:ascii="Times New Roman" w:hAnsi="Times New Roman"/>
                <w:b/>
                <w:lang w:val="en-US"/>
              </w:rPr>
              <w:t>0,081</w:t>
            </w:r>
            <w:r>
              <w:rPr>
                <w:rFonts w:ascii="Times New Roman" w:hAnsi="Times New Roman"/>
                <w:b/>
                <w:lang w:val="en-US"/>
              </w:rPr>
              <w:t>)</w:t>
            </w:r>
          </w:p>
        </w:tc>
        <w:tc>
          <w:tcPr>
            <w:tcW w:w="1931" w:type="dxa"/>
            <w:tcBorders>
              <w:bottom w:val="single" w:sz="6" w:space="0" w:color="000000"/>
            </w:tcBorders>
            <w:shd w:val="clear" w:color="auto" w:fill="auto"/>
            <w:vAlign w:val="bottom"/>
          </w:tcPr>
          <w:p w14:paraId="6375C859" w14:textId="53BDC6CF" w:rsidR="00490C7E" w:rsidRPr="00490C7E" w:rsidRDefault="00490C7E" w:rsidP="00490C7E">
            <w:pPr>
              <w:pStyle w:val="DRFinancialStatements"/>
              <w:ind w:right="108"/>
              <w:jc w:val="right"/>
              <w:rPr>
                <w:rFonts w:ascii="Times New Roman" w:hAnsi="Times New Roman"/>
                <w:bCs/>
                <w:lang w:val="en-US"/>
              </w:rPr>
            </w:pPr>
            <w:r w:rsidRPr="00490C7E">
              <w:rPr>
                <w:rFonts w:ascii="Times New Roman" w:hAnsi="Times New Roman"/>
                <w:bCs/>
                <w:lang w:val="en-US"/>
              </w:rPr>
              <w:t>(23,480,591)</w:t>
            </w:r>
          </w:p>
        </w:tc>
      </w:tr>
      <w:tr w:rsidR="00490C7E" w:rsidRPr="000206BE" w14:paraId="2795AF7A" w14:textId="77777777" w:rsidTr="005D1ED8">
        <w:trPr>
          <w:trHeight w:val="288"/>
        </w:trPr>
        <w:tc>
          <w:tcPr>
            <w:tcW w:w="5498" w:type="dxa"/>
            <w:tcBorders>
              <w:bottom w:val="single" w:sz="6" w:space="0" w:color="000000"/>
            </w:tcBorders>
            <w:shd w:val="clear" w:color="auto" w:fill="auto"/>
            <w:vAlign w:val="bottom"/>
          </w:tcPr>
          <w:p w14:paraId="1B1DDE8E" w14:textId="77777777" w:rsidR="00490C7E" w:rsidRPr="000206BE" w:rsidRDefault="00490C7E" w:rsidP="00490C7E">
            <w:pPr>
              <w:pStyle w:val="DRFinancialStatements"/>
              <w:tabs>
                <w:tab w:val="left" w:pos="342"/>
                <w:tab w:val="left" w:pos="702"/>
              </w:tabs>
              <w:rPr>
                <w:rFonts w:ascii="Times New Roman" w:hAnsi="Times New Roman"/>
                <w:lang w:val="en-US"/>
              </w:rPr>
            </w:pPr>
          </w:p>
        </w:tc>
        <w:tc>
          <w:tcPr>
            <w:tcW w:w="1931" w:type="dxa"/>
            <w:tcBorders>
              <w:bottom w:val="single" w:sz="6" w:space="0" w:color="000000"/>
            </w:tcBorders>
            <w:shd w:val="clear" w:color="auto" w:fill="auto"/>
            <w:vAlign w:val="bottom"/>
          </w:tcPr>
          <w:p w14:paraId="63EFB0CB" w14:textId="3226FF97" w:rsidR="00490C7E" w:rsidRPr="00A62554" w:rsidRDefault="006B201C" w:rsidP="00490C7E">
            <w:pPr>
              <w:pStyle w:val="DRFinancialStatements"/>
              <w:tabs>
                <w:tab w:val="decimal" w:pos="1206"/>
              </w:tabs>
              <w:ind w:right="108"/>
              <w:jc w:val="right"/>
              <w:rPr>
                <w:rFonts w:ascii="Times New Roman" w:hAnsi="Times New Roman"/>
                <w:b/>
                <w:lang w:val="en-US"/>
              </w:rPr>
            </w:pPr>
            <w:r>
              <w:rPr>
                <w:rFonts w:ascii="Times New Roman" w:hAnsi="Times New Roman"/>
                <w:b/>
                <w:lang w:val="en-US"/>
              </w:rPr>
              <w:t>14,91</w:t>
            </w:r>
            <w:r w:rsidR="00AC7122">
              <w:rPr>
                <w:rFonts w:ascii="Times New Roman" w:hAnsi="Times New Roman"/>
                <w:b/>
                <w:lang w:val="en-US"/>
              </w:rPr>
              <w:t>7,985</w:t>
            </w:r>
          </w:p>
        </w:tc>
        <w:tc>
          <w:tcPr>
            <w:tcW w:w="1931" w:type="dxa"/>
            <w:tcBorders>
              <w:bottom w:val="single" w:sz="6" w:space="0" w:color="000000"/>
            </w:tcBorders>
            <w:shd w:val="clear" w:color="auto" w:fill="auto"/>
            <w:vAlign w:val="bottom"/>
          </w:tcPr>
          <w:p w14:paraId="7D5E5953" w14:textId="123E2AB2" w:rsidR="00490C7E" w:rsidRPr="00490C7E" w:rsidRDefault="00490C7E" w:rsidP="00490C7E">
            <w:pPr>
              <w:pStyle w:val="DRFinancialStatements"/>
              <w:ind w:right="108"/>
              <w:jc w:val="right"/>
              <w:rPr>
                <w:rFonts w:ascii="Times New Roman" w:hAnsi="Times New Roman"/>
                <w:bCs/>
                <w:lang w:val="en-US"/>
              </w:rPr>
            </w:pPr>
            <w:r w:rsidRPr="00490C7E">
              <w:rPr>
                <w:rFonts w:ascii="Times New Roman" w:hAnsi="Times New Roman"/>
                <w:bCs/>
                <w:lang w:val="en-US"/>
              </w:rPr>
              <w:t>14,968,525</w:t>
            </w:r>
          </w:p>
        </w:tc>
      </w:tr>
      <w:tr w:rsidR="00490C7E" w:rsidRPr="000206BE" w14:paraId="08B8B373" w14:textId="77777777" w:rsidTr="005D1ED8">
        <w:trPr>
          <w:trHeight w:val="360"/>
        </w:trPr>
        <w:tc>
          <w:tcPr>
            <w:tcW w:w="5498" w:type="dxa"/>
            <w:tcBorders>
              <w:top w:val="single" w:sz="6" w:space="0" w:color="000000"/>
              <w:bottom w:val="double" w:sz="4" w:space="0" w:color="000000"/>
            </w:tcBorders>
            <w:shd w:val="clear" w:color="auto" w:fill="auto"/>
            <w:vAlign w:val="bottom"/>
          </w:tcPr>
          <w:p w14:paraId="3479AB92" w14:textId="77777777" w:rsidR="00490C7E" w:rsidRPr="000206BE" w:rsidRDefault="00490C7E" w:rsidP="00490C7E">
            <w:pPr>
              <w:pStyle w:val="DRFinancialStatements"/>
              <w:tabs>
                <w:tab w:val="left" w:pos="342"/>
                <w:tab w:val="left" w:pos="702"/>
              </w:tabs>
              <w:rPr>
                <w:rFonts w:ascii="Times New Roman" w:hAnsi="Times New Roman"/>
                <w:lang w:val="en-US"/>
              </w:rPr>
            </w:pPr>
            <w:r w:rsidRPr="000206BE">
              <w:rPr>
                <w:rFonts w:ascii="Times New Roman" w:hAnsi="Times New Roman"/>
                <w:b/>
                <w:lang w:val="en-US"/>
              </w:rPr>
              <w:t>Total liabilities and shareholders’ equity</w:t>
            </w:r>
          </w:p>
        </w:tc>
        <w:tc>
          <w:tcPr>
            <w:tcW w:w="1931" w:type="dxa"/>
            <w:tcBorders>
              <w:top w:val="single" w:sz="6" w:space="0" w:color="000000"/>
              <w:bottom w:val="double" w:sz="4" w:space="0" w:color="000000"/>
            </w:tcBorders>
            <w:shd w:val="clear" w:color="auto" w:fill="auto"/>
            <w:vAlign w:val="bottom"/>
          </w:tcPr>
          <w:p w14:paraId="3AB7C81F" w14:textId="1D2820FE" w:rsidR="00490C7E" w:rsidRPr="00A62554" w:rsidRDefault="006B201C" w:rsidP="00490C7E">
            <w:pPr>
              <w:pStyle w:val="DRFinancialStatements"/>
              <w:tabs>
                <w:tab w:val="decimal" w:pos="1206"/>
              </w:tabs>
              <w:ind w:right="108"/>
              <w:jc w:val="right"/>
              <w:rPr>
                <w:rFonts w:ascii="Times New Roman" w:hAnsi="Times New Roman"/>
                <w:b/>
                <w:lang w:val="en-US"/>
              </w:rPr>
            </w:pPr>
            <w:r>
              <w:rPr>
                <w:rFonts w:ascii="Times New Roman" w:hAnsi="Times New Roman"/>
                <w:b/>
                <w:lang w:val="en-US"/>
              </w:rPr>
              <w:t>15,7</w:t>
            </w:r>
            <w:r w:rsidR="00AC7122">
              <w:rPr>
                <w:rFonts w:ascii="Times New Roman" w:hAnsi="Times New Roman"/>
                <w:b/>
                <w:lang w:val="en-US"/>
              </w:rPr>
              <w:t>81,510</w:t>
            </w:r>
          </w:p>
        </w:tc>
        <w:tc>
          <w:tcPr>
            <w:tcW w:w="1931" w:type="dxa"/>
            <w:tcBorders>
              <w:top w:val="single" w:sz="6" w:space="0" w:color="000000"/>
              <w:bottom w:val="double" w:sz="4" w:space="0" w:color="000000"/>
            </w:tcBorders>
            <w:shd w:val="clear" w:color="auto" w:fill="auto"/>
            <w:vAlign w:val="bottom"/>
          </w:tcPr>
          <w:p w14:paraId="37851D10" w14:textId="603A1C2F" w:rsidR="00490C7E" w:rsidRPr="00490C7E" w:rsidRDefault="00490C7E" w:rsidP="00490C7E">
            <w:pPr>
              <w:pStyle w:val="DRFinancialStatements"/>
              <w:ind w:right="108"/>
              <w:jc w:val="right"/>
              <w:rPr>
                <w:rFonts w:ascii="Times New Roman" w:hAnsi="Times New Roman"/>
                <w:bCs/>
                <w:lang w:val="en-US"/>
              </w:rPr>
            </w:pPr>
            <w:r w:rsidRPr="00490C7E">
              <w:rPr>
                <w:rFonts w:ascii="Times New Roman" w:hAnsi="Times New Roman"/>
                <w:bCs/>
                <w:lang w:val="en-US"/>
              </w:rPr>
              <w:t>15,842,960</w:t>
            </w:r>
          </w:p>
        </w:tc>
      </w:tr>
      <w:tr w:rsidR="00DC5910" w:rsidRPr="000206BE" w14:paraId="547D3A9C" w14:textId="77777777" w:rsidTr="005D1ED8">
        <w:trPr>
          <w:trHeight w:val="123"/>
        </w:trPr>
        <w:tc>
          <w:tcPr>
            <w:tcW w:w="5498" w:type="dxa"/>
            <w:tcBorders>
              <w:top w:val="double" w:sz="4" w:space="0" w:color="000000"/>
            </w:tcBorders>
            <w:shd w:val="clear" w:color="auto" w:fill="auto"/>
            <w:vAlign w:val="bottom"/>
          </w:tcPr>
          <w:p w14:paraId="30C904F1" w14:textId="77777777" w:rsidR="00DC5910" w:rsidRPr="000206BE" w:rsidRDefault="00DC5910" w:rsidP="005D1ED8">
            <w:pPr>
              <w:pStyle w:val="DRFinancialStatements"/>
              <w:tabs>
                <w:tab w:val="left" w:pos="342"/>
                <w:tab w:val="left" w:pos="702"/>
              </w:tabs>
              <w:rPr>
                <w:rFonts w:ascii="Times New Roman" w:hAnsi="Times New Roman"/>
                <w:b/>
                <w:lang w:val="en-US"/>
              </w:rPr>
            </w:pPr>
          </w:p>
        </w:tc>
        <w:tc>
          <w:tcPr>
            <w:tcW w:w="1931" w:type="dxa"/>
            <w:tcBorders>
              <w:top w:val="double" w:sz="4" w:space="0" w:color="000000"/>
            </w:tcBorders>
            <w:shd w:val="clear" w:color="auto" w:fill="auto"/>
            <w:vAlign w:val="bottom"/>
          </w:tcPr>
          <w:p w14:paraId="2ACF53F0" w14:textId="77777777" w:rsidR="00DC5910" w:rsidRPr="000206BE" w:rsidRDefault="00DC5910" w:rsidP="005D1ED8">
            <w:pPr>
              <w:pStyle w:val="DRFinancialStatements"/>
              <w:tabs>
                <w:tab w:val="decimal" w:pos="1206"/>
              </w:tabs>
              <w:ind w:right="108"/>
              <w:jc w:val="right"/>
              <w:rPr>
                <w:rFonts w:ascii="Times New Roman" w:hAnsi="Times New Roman"/>
                <w:b/>
                <w:lang w:val="en-US"/>
              </w:rPr>
            </w:pPr>
          </w:p>
        </w:tc>
        <w:tc>
          <w:tcPr>
            <w:tcW w:w="1931" w:type="dxa"/>
            <w:tcBorders>
              <w:top w:val="double" w:sz="4" w:space="0" w:color="000000"/>
            </w:tcBorders>
            <w:shd w:val="clear" w:color="auto" w:fill="auto"/>
            <w:vAlign w:val="bottom"/>
          </w:tcPr>
          <w:p w14:paraId="6ED3F57A" w14:textId="77777777" w:rsidR="00DC5910" w:rsidRPr="000206BE" w:rsidRDefault="00DC5910" w:rsidP="005D1ED8">
            <w:pPr>
              <w:pStyle w:val="DRFinancialStatements"/>
              <w:tabs>
                <w:tab w:val="decimal" w:pos="1206"/>
              </w:tabs>
              <w:ind w:right="108"/>
              <w:jc w:val="right"/>
              <w:rPr>
                <w:rFonts w:ascii="Times New Roman" w:hAnsi="Times New Roman"/>
                <w:lang w:val="en-US"/>
              </w:rPr>
            </w:pPr>
          </w:p>
        </w:tc>
      </w:tr>
    </w:tbl>
    <w:p w14:paraId="6BB8E4D7" w14:textId="77777777" w:rsidR="005F5A01" w:rsidRPr="000206BE" w:rsidRDefault="00623D0E" w:rsidP="00623D0E">
      <w:pPr>
        <w:pStyle w:val="BodyText"/>
        <w:jc w:val="center"/>
        <w:rPr>
          <w:b/>
          <w:bCs/>
        </w:rPr>
      </w:pPr>
      <w:r w:rsidRPr="000206BE">
        <w:rPr>
          <w:b/>
          <w:i/>
          <w:iCs/>
          <w:lang w:val="en-CA" w:eastAsia="en-CA"/>
        </w:rPr>
        <w:t>-See Accompanying Notes-</w:t>
      </w:r>
    </w:p>
    <w:p w14:paraId="2F3002DE" w14:textId="77777777" w:rsidR="00585692" w:rsidRPr="000206BE" w:rsidRDefault="00585692" w:rsidP="008E4CEF">
      <w:pPr>
        <w:pStyle w:val="BodyText"/>
        <w:spacing w:after="0"/>
        <w:rPr>
          <w:lang w:val="en-CA" w:eastAsia="en-CA"/>
        </w:rPr>
      </w:pPr>
    </w:p>
    <w:p w14:paraId="5FEAD4BD" w14:textId="77777777" w:rsidR="005F5A01" w:rsidRPr="000206BE" w:rsidRDefault="00E44635" w:rsidP="006C7959">
      <w:pPr>
        <w:pStyle w:val="BodyText"/>
        <w:spacing w:after="0"/>
        <w:rPr>
          <w:i/>
          <w:lang w:val="en-CA" w:eastAsia="en-CA"/>
        </w:rPr>
      </w:pPr>
      <w:r w:rsidRPr="000206BE">
        <w:rPr>
          <w:lang w:val="en-CA" w:eastAsia="en-CA"/>
        </w:rPr>
        <w:t xml:space="preserve">Nature </w:t>
      </w:r>
      <w:r w:rsidR="000E65B3" w:rsidRPr="000206BE">
        <w:rPr>
          <w:lang w:val="en-CA" w:eastAsia="en-CA"/>
        </w:rPr>
        <w:t>of operations and going c</w:t>
      </w:r>
      <w:r w:rsidR="00085AD9" w:rsidRPr="000206BE">
        <w:rPr>
          <w:lang w:val="en-CA" w:eastAsia="en-CA"/>
        </w:rPr>
        <w:t>oncern</w:t>
      </w:r>
      <w:r w:rsidR="005F5A01" w:rsidRPr="000206BE">
        <w:rPr>
          <w:lang w:val="en-CA" w:eastAsia="en-CA"/>
        </w:rPr>
        <w:t xml:space="preserve"> </w:t>
      </w:r>
      <w:r w:rsidR="005F5A01" w:rsidRPr="000206BE">
        <w:rPr>
          <w:i/>
          <w:lang w:val="en-CA" w:eastAsia="en-CA"/>
        </w:rPr>
        <w:t>(</w:t>
      </w:r>
      <w:r w:rsidR="00446EF6" w:rsidRPr="000206BE">
        <w:rPr>
          <w:i/>
          <w:lang w:val="en-CA" w:eastAsia="en-CA"/>
        </w:rPr>
        <w:t>n</w:t>
      </w:r>
      <w:r w:rsidR="005F5A01" w:rsidRPr="000206BE">
        <w:rPr>
          <w:i/>
          <w:lang w:val="en-CA" w:eastAsia="en-CA"/>
        </w:rPr>
        <w:t>ote 1)</w:t>
      </w:r>
    </w:p>
    <w:p w14:paraId="4EF04B8C" w14:textId="341AE275" w:rsidR="00C66157" w:rsidRPr="000206BE" w:rsidRDefault="00D24D25" w:rsidP="00D24D25">
      <w:pPr>
        <w:pStyle w:val="BodyText"/>
        <w:spacing w:after="0"/>
        <w:rPr>
          <w:lang w:val="en-CA" w:eastAsia="en-CA"/>
        </w:rPr>
      </w:pPr>
      <w:r>
        <w:rPr>
          <w:lang w:val="en-CA" w:eastAsia="en-CA"/>
        </w:rPr>
        <w:t xml:space="preserve">Subsequent events </w:t>
      </w:r>
      <w:r w:rsidRPr="00D24D25">
        <w:rPr>
          <w:i/>
          <w:lang w:val="en-CA" w:eastAsia="en-CA"/>
        </w:rPr>
        <w:t xml:space="preserve">(note </w:t>
      </w:r>
      <w:r w:rsidR="00CE406D">
        <w:rPr>
          <w:i/>
          <w:lang w:val="en-CA" w:eastAsia="en-CA"/>
        </w:rPr>
        <w:t>15</w:t>
      </w:r>
      <w:r w:rsidRPr="00D24D25">
        <w:rPr>
          <w:i/>
          <w:lang w:val="en-CA" w:eastAsia="en-CA"/>
        </w:rPr>
        <w:t>)</w:t>
      </w:r>
    </w:p>
    <w:p w14:paraId="738F217B" w14:textId="77777777" w:rsidR="006C7959" w:rsidRPr="000206BE" w:rsidRDefault="00AF1AB6" w:rsidP="006C7959">
      <w:pPr>
        <w:pStyle w:val="BodyText"/>
        <w:spacing w:after="0"/>
        <w:rPr>
          <w:i/>
          <w:lang w:val="en-CA" w:eastAsia="en-CA"/>
        </w:rPr>
      </w:pPr>
      <w:r w:rsidRPr="000206BE">
        <w:rPr>
          <w:lang w:val="en-CA" w:eastAsia="en-CA"/>
        </w:rPr>
        <w:t xml:space="preserve"> </w:t>
      </w:r>
    </w:p>
    <w:p w14:paraId="550473E7" w14:textId="77777777" w:rsidR="00F23BCF" w:rsidRPr="000206BE" w:rsidRDefault="00F23BCF" w:rsidP="001D6D8B">
      <w:pPr>
        <w:pStyle w:val="BodyText"/>
        <w:spacing w:after="0"/>
        <w:ind w:firstLine="142"/>
        <w:rPr>
          <w:lang w:val="en-CA" w:eastAsia="en-CA"/>
        </w:rPr>
      </w:pPr>
    </w:p>
    <w:tbl>
      <w:tblPr>
        <w:tblW w:w="9305" w:type="dxa"/>
        <w:jc w:val="center"/>
        <w:tblLook w:val="00A0" w:firstRow="1" w:lastRow="0" w:firstColumn="1" w:lastColumn="0" w:noHBand="0" w:noVBand="0"/>
      </w:tblPr>
      <w:tblGrid>
        <w:gridCol w:w="3780"/>
        <w:gridCol w:w="1260"/>
        <w:gridCol w:w="3160"/>
        <w:gridCol w:w="266"/>
        <w:gridCol w:w="266"/>
        <w:gridCol w:w="573"/>
      </w:tblGrid>
      <w:tr w:rsidR="00507D54" w:rsidRPr="000206BE" w14:paraId="52CEDB1B" w14:textId="77777777" w:rsidTr="005D1ED8">
        <w:trPr>
          <w:trHeight w:val="282"/>
          <w:jc w:val="center"/>
        </w:trPr>
        <w:tc>
          <w:tcPr>
            <w:tcW w:w="8200" w:type="dxa"/>
            <w:gridSpan w:val="3"/>
            <w:tcBorders>
              <w:top w:val="nil"/>
              <w:left w:val="nil"/>
              <w:bottom w:val="nil"/>
              <w:right w:val="nil"/>
            </w:tcBorders>
            <w:shd w:val="clear" w:color="000000" w:fill="FFFFFF"/>
            <w:noWrap/>
            <w:vAlign w:val="bottom"/>
          </w:tcPr>
          <w:p w14:paraId="26DF4773" w14:textId="21FB33DB" w:rsidR="009107A2" w:rsidRPr="00FA6B7B" w:rsidRDefault="009107A2" w:rsidP="00022507">
            <w:pPr>
              <w:widowControl/>
              <w:rPr>
                <w:sz w:val="20"/>
                <w:lang w:val="en-CA" w:eastAsia="en-CA"/>
              </w:rPr>
            </w:pPr>
            <w:r w:rsidRPr="00FA6B7B">
              <w:rPr>
                <w:sz w:val="20"/>
                <w:lang w:val="en-CA" w:eastAsia="en-CA"/>
              </w:rPr>
              <w:t xml:space="preserve">Approved </w:t>
            </w:r>
            <w:r w:rsidR="00303605" w:rsidRPr="00FA6B7B">
              <w:rPr>
                <w:sz w:val="20"/>
                <w:lang w:val="en-CA" w:eastAsia="en-CA"/>
              </w:rPr>
              <w:t>on behalf of the Board on</w:t>
            </w:r>
            <w:r w:rsidR="00283F13" w:rsidRPr="00FA6B7B">
              <w:rPr>
                <w:sz w:val="20"/>
                <w:lang w:val="en-CA" w:eastAsia="en-CA"/>
              </w:rPr>
              <w:t xml:space="preserve"> </w:t>
            </w:r>
            <w:r w:rsidR="00490C7E" w:rsidRPr="006C1094">
              <w:rPr>
                <w:sz w:val="20"/>
                <w:lang w:val="en-CA" w:eastAsia="en-CA"/>
              </w:rPr>
              <w:t xml:space="preserve">August </w:t>
            </w:r>
            <w:r w:rsidR="006C1094" w:rsidRPr="006C1094">
              <w:rPr>
                <w:sz w:val="20"/>
                <w:lang w:val="en-CA" w:eastAsia="en-CA"/>
              </w:rPr>
              <w:t>31</w:t>
            </w:r>
            <w:r w:rsidR="00D2117E" w:rsidRPr="006C1094">
              <w:rPr>
                <w:sz w:val="20"/>
                <w:lang w:val="en-CA" w:eastAsia="en-CA"/>
              </w:rPr>
              <w:t>, 20</w:t>
            </w:r>
            <w:r w:rsidR="00586E8D" w:rsidRPr="006C1094">
              <w:rPr>
                <w:sz w:val="20"/>
                <w:lang w:val="en-CA" w:eastAsia="en-CA"/>
              </w:rPr>
              <w:t>20</w:t>
            </w:r>
            <w:r w:rsidRPr="006C1094">
              <w:rPr>
                <w:sz w:val="20"/>
                <w:lang w:val="en-CA" w:eastAsia="en-CA"/>
              </w:rPr>
              <w:t>:</w:t>
            </w:r>
          </w:p>
          <w:p w14:paraId="5EC4DB25" w14:textId="77777777" w:rsidR="009107A2" w:rsidRPr="00FA6B7B" w:rsidRDefault="009107A2" w:rsidP="009107A2">
            <w:pPr>
              <w:widowControl/>
              <w:rPr>
                <w:b/>
                <w:bCs/>
                <w:sz w:val="20"/>
                <w:lang w:val="en-CA" w:eastAsia="en-CA"/>
              </w:rPr>
            </w:pPr>
            <w:r w:rsidRPr="00FA6B7B">
              <w:rPr>
                <w:sz w:val="20"/>
                <w:lang w:val="en-CA" w:eastAsia="en-CA"/>
              </w:rPr>
              <w:t> </w:t>
            </w:r>
            <w:r w:rsidRPr="00FA6B7B">
              <w:rPr>
                <w:b/>
                <w:bCs/>
                <w:sz w:val="20"/>
                <w:lang w:val="en-CA" w:eastAsia="en-CA"/>
              </w:rPr>
              <w:t> </w:t>
            </w:r>
          </w:p>
          <w:p w14:paraId="41180883" w14:textId="77777777" w:rsidR="0032289E" w:rsidRPr="00FA6B7B" w:rsidRDefault="0032289E" w:rsidP="009107A2">
            <w:pPr>
              <w:widowControl/>
              <w:rPr>
                <w:b/>
                <w:bCs/>
                <w:sz w:val="20"/>
                <w:lang w:val="en-CA" w:eastAsia="en-CA"/>
              </w:rPr>
            </w:pPr>
          </w:p>
        </w:tc>
        <w:tc>
          <w:tcPr>
            <w:tcW w:w="266" w:type="dxa"/>
            <w:tcBorders>
              <w:top w:val="nil"/>
              <w:left w:val="nil"/>
              <w:bottom w:val="nil"/>
              <w:right w:val="nil"/>
            </w:tcBorders>
            <w:shd w:val="clear" w:color="000000" w:fill="FFFFFF"/>
            <w:noWrap/>
            <w:vAlign w:val="bottom"/>
          </w:tcPr>
          <w:p w14:paraId="520B5CE9" w14:textId="77777777" w:rsidR="009107A2" w:rsidRPr="000206BE" w:rsidRDefault="009107A2" w:rsidP="00022507">
            <w:pPr>
              <w:widowControl/>
              <w:rPr>
                <w:sz w:val="20"/>
                <w:lang w:val="en-CA" w:eastAsia="en-CA"/>
              </w:rPr>
            </w:pPr>
            <w:r w:rsidRPr="000206BE">
              <w:rPr>
                <w:sz w:val="20"/>
                <w:lang w:val="en-CA" w:eastAsia="en-CA"/>
              </w:rPr>
              <w:t> </w:t>
            </w:r>
          </w:p>
        </w:tc>
        <w:tc>
          <w:tcPr>
            <w:tcW w:w="266" w:type="dxa"/>
            <w:tcBorders>
              <w:top w:val="nil"/>
              <w:left w:val="nil"/>
              <w:bottom w:val="nil"/>
              <w:right w:val="nil"/>
            </w:tcBorders>
            <w:shd w:val="clear" w:color="000000" w:fill="FFFFFF"/>
            <w:noWrap/>
            <w:vAlign w:val="bottom"/>
          </w:tcPr>
          <w:p w14:paraId="18F82FE3" w14:textId="77777777" w:rsidR="009107A2" w:rsidRPr="000206BE" w:rsidRDefault="009107A2" w:rsidP="00022507">
            <w:pPr>
              <w:widowControl/>
              <w:rPr>
                <w:sz w:val="20"/>
                <w:lang w:val="en-CA" w:eastAsia="en-CA"/>
              </w:rPr>
            </w:pPr>
            <w:r w:rsidRPr="000206BE">
              <w:rPr>
                <w:sz w:val="20"/>
                <w:lang w:val="en-CA" w:eastAsia="en-CA"/>
              </w:rPr>
              <w:t> </w:t>
            </w:r>
          </w:p>
        </w:tc>
        <w:tc>
          <w:tcPr>
            <w:tcW w:w="573" w:type="dxa"/>
            <w:tcBorders>
              <w:top w:val="nil"/>
              <w:left w:val="nil"/>
              <w:bottom w:val="nil"/>
              <w:right w:val="nil"/>
            </w:tcBorders>
            <w:shd w:val="clear" w:color="000000" w:fill="FFFFFF"/>
            <w:noWrap/>
            <w:vAlign w:val="bottom"/>
          </w:tcPr>
          <w:p w14:paraId="0451D7C2" w14:textId="77777777" w:rsidR="009107A2" w:rsidRPr="000206BE" w:rsidRDefault="009107A2" w:rsidP="00022507">
            <w:pPr>
              <w:widowControl/>
              <w:rPr>
                <w:sz w:val="20"/>
                <w:lang w:val="en-CA" w:eastAsia="en-CA"/>
              </w:rPr>
            </w:pPr>
            <w:r w:rsidRPr="000206BE">
              <w:rPr>
                <w:sz w:val="20"/>
                <w:lang w:val="en-CA" w:eastAsia="en-CA"/>
              </w:rPr>
              <w:t> </w:t>
            </w:r>
          </w:p>
        </w:tc>
      </w:tr>
      <w:tr w:rsidR="00507D54" w:rsidRPr="000206BE" w14:paraId="6C1F3BE4" w14:textId="77777777" w:rsidTr="005D1ED8">
        <w:trPr>
          <w:trHeight w:val="282"/>
          <w:jc w:val="center"/>
        </w:trPr>
        <w:tc>
          <w:tcPr>
            <w:tcW w:w="3780" w:type="dxa"/>
            <w:tcBorders>
              <w:top w:val="nil"/>
              <w:left w:val="nil"/>
              <w:bottom w:val="nil"/>
              <w:right w:val="nil"/>
            </w:tcBorders>
            <w:shd w:val="clear" w:color="000000" w:fill="FFFFFF"/>
            <w:noWrap/>
            <w:vAlign w:val="bottom"/>
          </w:tcPr>
          <w:p w14:paraId="560CD3BD" w14:textId="77777777" w:rsidR="005F5A01" w:rsidRPr="00FA6B7B" w:rsidRDefault="005F5A01" w:rsidP="00022507">
            <w:pPr>
              <w:widowControl/>
              <w:rPr>
                <w:sz w:val="20"/>
                <w:lang w:val="en-CA" w:eastAsia="en-CA"/>
              </w:rPr>
            </w:pPr>
            <w:r w:rsidRPr="00FA6B7B">
              <w:rPr>
                <w:sz w:val="20"/>
                <w:lang w:val="en-CA" w:eastAsia="en-CA"/>
              </w:rPr>
              <w:t> </w:t>
            </w:r>
          </w:p>
        </w:tc>
        <w:tc>
          <w:tcPr>
            <w:tcW w:w="1260" w:type="dxa"/>
            <w:tcBorders>
              <w:top w:val="nil"/>
              <w:left w:val="nil"/>
              <w:bottom w:val="nil"/>
              <w:right w:val="nil"/>
            </w:tcBorders>
            <w:shd w:val="clear" w:color="000000" w:fill="FFFFFF"/>
            <w:noWrap/>
            <w:vAlign w:val="bottom"/>
          </w:tcPr>
          <w:p w14:paraId="4523E64E" w14:textId="77777777" w:rsidR="005F5A01" w:rsidRPr="00FA6B7B" w:rsidRDefault="005F5A01" w:rsidP="00022507">
            <w:pPr>
              <w:widowControl/>
              <w:rPr>
                <w:sz w:val="20"/>
                <w:lang w:val="en-CA" w:eastAsia="en-CA"/>
              </w:rPr>
            </w:pPr>
            <w:r w:rsidRPr="00FA6B7B">
              <w:rPr>
                <w:sz w:val="20"/>
                <w:lang w:val="en-CA" w:eastAsia="en-CA"/>
              </w:rPr>
              <w:t> </w:t>
            </w:r>
          </w:p>
        </w:tc>
        <w:tc>
          <w:tcPr>
            <w:tcW w:w="3160" w:type="dxa"/>
            <w:tcBorders>
              <w:top w:val="nil"/>
              <w:left w:val="nil"/>
              <w:bottom w:val="nil"/>
              <w:right w:val="nil"/>
            </w:tcBorders>
            <w:shd w:val="clear" w:color="000000" w:fill="FFFFFF"/>
            <w:noWrap/>
            <w:vAlign w:val="bottom"/>
          </w:tcPr>
          <w:p w14:paraId="0D4726B7" w14:textId="77777777" w:rsidR="005F5A01" w:rsidRPr="00FA6B7B" w:rsidRDefault="005F5A01" w:rsidP="00022507">
            <w:pPr>
              <w:widowControl/>
              <w:rPr>
                <w:b/>
                <w:bCs/>
                <w:sz w:val="20"/>
                <w:lang w:val="en-CA" w:eastAsia="en-CA"/>
              </w:rPr>
            </w:pPr>
            <w:r w:rsidRPr="00FA6B7B">
              <w:rPr>
                <w:b/>
                <w:bCs/>
                <w:sz w:val="20"/>
                <w:lang w:val="en-CA" w:eastAsia="en-CA"/>
              </w:rPr>
              <w:t> </w:t>
            </w:r>
          </w:p>
        </w:tc>
        <w:tc>
          <w:tcPr>
            <w:tcW w:w="266" w:type="dxa"/>
            <w:tcBorders>
              <w:top w:val="nil"/>
              <w:left w:val="nil"/>
              <w:bottom w:val="nil"/>
              <w:right w:val="nil"/>
            </w:tcBorders>
            <w:shd w:val="clear" w:color="000000" w:fill="FFFFFF"/>
            <w:noWrap/>
            <w:vAlign w:val="bottom"/>
          </w:tcPr>
          <w:p w14:paraId="7DA4EEED" w14:textId="77777777" w:rsidR="005F5A01" w:rsidRPr="000206BE" w:rsidRDefault="005F5A01" w:rsidP="00022507">
            <w:pPr>
              <w:widowControl/>
              <w:rPr>
                <w:sz w:val="20"/>
                <w:lang w:val="en-CA" w:eastAsia="en-CA"/>
              </w:rPr>
            </w:pPr>
            <w:r w:rsidRPr="000206BE">
              <w:rPr>
                <w:sz w:val="20"/>
                <w:lang w:val="en-CA" w:eastAsia="en-CA"/>
              </w:rPr>
              <w:t> </w:t>
            </w:r>
          </w:p>
        </w:tc>
        <w:tc>
          <w:tcPr>
            <w:tcW w:w="266" w:type="dxa"/>
            <w:tcBorders>
              <w:top w:val="nil"/>
              <w:left w:val="nil"/>
              <w:bottom w:val="nil"/>
              <w:right w:val="nil"/>
            </w:tcBorders>
            <w:shd w:val="clear" w:color="000000" w:fill="FFFFFF"/>
            <w:noWrap/>
            <w:vAlign w:val="bottom"/>
          </w:tcPr>
          <w:p w14:paraId="3B6EFFFF" w14:textId="77777777" w:rsidR="005F5A01" w:rsidRPr="000206BE" w:rsidRDefault="005F5A01" w:rsidP="00022507">
            <w:pPr>
              <w:widowControl/>
              <w:rPr>
                <w:sz w:val="20"/>
                <w:lang w:val="en-CA" w:eastAsia="en-CA"/>
              </w:rPr>
            </w:pPr>
            <w:r w:rsidRPr="000206BE">
              <w:rPr>
                <w:sz w:val="20"/>
                <w:lang w:val="en-CA" w:eastAsia="en-CA"/>
              </w:rPr>
              <w:t> </w:t>
            </w:r>
          </w:p>
        </w:tc>
        <w:tc>
          <w:tcPr>
            <w:tcW w:w="573" w:type="dxa"/>
            <w:tcBorders>
              <w:top w:val="nil"/>
              <w:left w:val="nil"/>
              <w:right w:val="nil"/>
            </w:tcBorders>
            <w:shd w:val="clear" w:color="000000" w:fill="FFFFFF"/>
            <w:noWrap/>
            <w:vAlign w:val="bottom"/>
          </w:tcPr>
          <w:p w14:paraId="2C5FA3E4" w14:textId="77777777" w:rsidR="005F5A01" w:rsidRPr="000206BE" w:rsidRDefault="005F5A01" w:rsidP="00022507">
            <w:pPr>
              <w:widowControl/>
              <w:rPr>
                <w:sz w:val="20"/>
                <w:lang w:val="en-CA" w:eastAsia="en-CA"/>
              </w:rPr>
            </w:pPr>
            <w:r w:rsidRPr="000206BE">
              <w:rPr>
                <w:sz w:val="20"/>
                <w:lang w:val="en-CA" w:eastAsia="en-CA"/>
              </w:rPr>
              <w:t> </w:t>
            </w:r>
          </w:p>
        </w:tc>
      </w:tr>
      <w:tr w:rsidR="00507D54" w:rsidRPr="000206BE" w14:paraId="3BD0DF3C" w14:textId="77777777" w:rsidTr="005D1ED8">
        <w:trPr>
          <w:trHeight w:val="282"/>
          <w:jc w:val="center"/>
        </w:trPr>
        <w:tc>
          <w:tcPr>
            <w:tcW w:w="3780" w:type="dxa"/>
            <w:tcBorders>
              <w:top w:val="nil"/>
              <w:left w:val="nil"/>
              <w:bottom w:val="single" w:sz="4" w:space="0" w:color="auto"/>
              <w:right w:val="nil"/>
            </w:tcBorders>
            <w:shd w:val="clear" w:color="000000" w:fill="FFFFFF"/>
            <w:noWrap/>
            <w:vAlign w:val="bottom"/>
          </w:tcPr>
          <w:p w14:paraId="05498069" w14:textId="77777777" w:rsidR="005F5A01" w:rsidRPr="00FA6B7B" w:rsidRDefault="007E35E7" w:rsidP="00022507">
            <w:pPr>
              <w:widowControl/>
              <w:rPr>
                <w:i/>
                <w:iCs/>
                <w:sz w:val="20"/>
                <w:lang w:val="en-CA" w:eastAsia="en-CA"/>
              </w:rPr>
            </w:pPr>
            <w:r w:rsidRPr="00FA6B7B">
              <w:rPr>
                <w:i/>
                <w:iCs/>
                <w:sz w:val="20"/>
                <w:lang w:val="en-CA" w:eastAsia="en-CA"/>
              </w:rPr>
              <w:t>“</w:t>
            </w:r>
            <w:r w:rsidR="00AF1AB6" w:rsidRPr="00FA6B7B">
              <w:rPr>
                <w:i/>
                <w:sz w:val="20"/>
              </w:rPr>
              <w:t>Stephen</w:t>
            </w:r>
            <w:r w:rsidR="00AF1AB6" w:rsidRPr="00FA6B7B">
              <w:rPr>
                <w:sz w:val="20"/>
              </w:rPr>
              <w:t xml:space="preserve"> </w:t>
            </w:r>
            <w:r w:rsidRPr="00FA6B7B">
              <w:rPr>
                <w:i/>
                <w:iCs/>
                <w:sz w:val="20"/>
                <w:lang w:val="en-CA" w:eastAsia="en-CA"/>
              </w:rPr>
              <w:t>Stine”</w:t>
            </w:r>
          </w:p>
        </w:tc>
        <w:tc>
          <w:tcPr>
            <w:tcW w:w="1260" w:type="dxa"/>
            <w:tcBorders>
              <w:top w:val="nil"/>
              <w:left w:val="nil"/>
              <w:bottom w:val="nil"/>
              <w:right w:val="nil"/>
            </w:tcBorders>
            <w:shd w:val="clear" w:color="000000" w:fill="FFFFFF"/>
            <w:noWrap/>
            <w:vAlign w:val="bottom"/>
          </w:tcPr>
          <w:p w14:paraId="6FCFE2E1" w14:textId="77777777" w:rsidR="005F5A01" w:rsidRPr="00FA6B7B" w:rsidRDefault="005F5A01" w:rsidP="00022507">
            <w:pPr>
              <w:widowControl/>
              <w:rPr>
                <w:sz w:val="20"/>
                <w:lang w:val="en-CA" w:eastAsia="en-CA"/>
              </w:rPr>
            </w:pPr>
            <w:r w:rsidRPr="00FA6B7B">
              <w:rPr>
                <w:sz w:val="20"/>
                <w:lang w:val="en-CA" w:eastAsia="en-CA"/>
              </w:rPr>
              <w:t> </w:t>
            </w:r>
          </w:p>
        </w:tc>
        <w:tc>
          <w:tcPr>
            <w:tcW w:w="3160" w:type="dxa"/>
            <w:tcBorders>
              <w:top w:val="nil"/>
              <w:left w:val="nil"/>
              <w:bottom w:val="single" w:sz="4" w:space="0" w:color="auto"/>
              <w:right w:val="nil"/>
            </w:tcBorders>
            <w:shd w:val="clear" w:color="000000" w:fill="FFFFFF"/>
            <w:noWrap/>
            <w:vAlign w:val="bottom"/>
          </w:tcPr>
          <w:p w14:paraId="153FCE6C" w14:textId="77777777" w:rsidR="005F5A01" w:rsidRPr="00FA6B7B" w:rsidRDefault="007E35E7" w:rsidP="004D7CB0">
            <w:pPr>
              <w:widowControl/>
              <w:rPr>
                <w:i/>
                <w:iCs/>
                <w:sz w:val="20"/>
                <w:lang w:val="en-CA" w:eastAsia="en-CA"/>
              </w:rPr>
            </w:pPr>
            <w:r w:rsidRPr="00FA6B7B">
              <w:rPr>
                <w:i/>
                <w:iCs/>
                <w:sz w:val="20"/>
                <w:lang w:val="en-CA" w:eastAsia="en-CA"/>
              </w:rPr>
              <w:t>“Fred Tejada”</w:t>
            </w:r>
          </w:p>
        </w:tc>
        <w:tc>
          <w:tcPr>
            <w:tcW w:w="1105" w:type="dxa"/>
            <w:gridSpan w:val="3"/>
            <w:tcBorders>
              <w:top w:val="nil"/>
              <w:left w:val="nil"/>
              <w:right w:val="nil"/>
            </w:tcBorders>
            <w:shd w:val="clear" w:color="000000" w:fill="FFFFFF"/>
            <w:noWrap/>
            <w:vAlign w:val="bottom"/>
          </w:tcPr>
          <w:p w14:paraId="4BDEC24D" w14:textId="77777777" w:rsidR="005F5A01" w:rsidRPr="000206BE" w:rsidRDefault="005F5A01" w:rsidP="00022507">
            <w:pPr>
              <w:widowControl/>
              <w:rPr>
                <w:sz w:val="20"/>
                <w:lang w:val="en-CA" w:eastAsia="en-CA"/>
              </w:rPr>
            </w:pPr>
            <w:r w:rsidRPr="000206BE">
              <w:rPr>
                <w:sz w:val="20"/>
                <w:lang w:val="en-CA" w:eastAsia="en-CA"/>
              </w:rPr>
              <w:t> </w:t>
            </w:r>
          </w:p>
        </w:tc>
      </w:tr>
      <w:tr w:rsidR="00507D54" w:rsidRPr="000206BE" w14:paraId="5D3C38CA" w14:textId="77777777" w:rsidTr="005D1ED8">
        <w:trPr>
          <w:trHeight w:val="342"/>
          <w:jc w:val="center"/>
        </w:trPr>
        <w:tc>
          <w:tcPr>
            <w:tcW w:w="3780" w:type="dxa"/>
            <w:tcBorders>
              <w:left w:val="nil"/>
              <w:bottom w:val="nil"/>
              <w:right w:val="nil"/>
            </w:tcBorders>
            <w:shd w:val="clear" w:color="000000" w:fill="FFFFFF"/>
            <w:noWrap/>
            <w:vAlign w:val="bottom"/>
          </w:tcPr>
          <w:p w14:paraId="5710E3C7" w14:textId="77777777" w:rsidR="005F5A01" w:rsidRPr="00FA6B7B" w:rsidRDefault="005F5A01" w:rsidP="00022507">
            <w:pPr>
              <w:widowControl/>
              <w:rPr>
                <w:sz w:val="20"/>
                <w:lang w:val="en-CA" w:eastAsia="en-CA"/>
              </w:rPr>
            </w:pPr>
            <w:r w:rsidRPr="00FA6B7B">
              <w:rPr>
                <w:sz w:val="20"/>
                <w:lang w:val="en-CA" w:eastAsia="en-CA"/>
              </w:rPr>
              <w:t>Director</w:t>
            </w:r>
          </w:p>
        </w:tc>
        <w:tc>
          <w:tcPr>
            <w:tcW w:w="1260" w:type="dxa"/>
            <w:tcBorders>
              <w:left w:val="nil"/>
              <w:bottom w:val="nil"/>
              <w:right w:val="nil"/>
            </w:tcBorders>
            <w:shd w:val="clear" w:color="000000" w:fill="FFFFFF"/>
            <w:noWrap/>
            <w:vAlign w:val="bottom"/>
          </w:tcPr>
          <w:p w14:paraId="3DFF211C" w14:textId="77777777" w:rsidR="005F5A01" w:rsidRPr="00FA6B7B" w:rsidRDefault="005F5A01" w:rsidP="00022507">
            <w:pPr>
              <w:widowControl/>
              <w:rPr>
                <w:sz w:val="20"/>
                <w:lang w:val="en-CA" w:eastAsia="en-CA"/>
              </w:rPr>
            </w:pPr>
            <w:r w:rsidRPr="00FA6B7B">
              <w:rPr>
                <w:sz w:val="20"/>
                <w:lang w:val="en-CA" w:eastAsia="en-CA"/>
              </w:rPr>
              <w:t> </w:t>
            </w:r>
          </w:p>
        </w:tc>
        <w:tc>
          <w:tcPr>
            <w:tcW w:w="3160" w:type="dxa"/>
            <w:tcBorders>
              <w:left w:val="nil"/>
              <w:bottom w:val="nil"/>
              <w:right w:val="nil"/>
            </w:tcBorders>
            <w:noWrap/>
            <w:vAlign w:val="bottom"/>
          </w:tcPr>
          <w:p w14:paraId="7FA60483" w14:textId="77777777" w:rsidR="005F5A01" w:rsidRPr="00FA6B7B" w:rsidRDefault="005F5A01" w:rsidP="00022507">
            <w:pPr>
              <w:widowControl/>
              <w:rPr>
                <w:sz w:val="20"/>
                <w:lang w:val="en-CA" w:eastAsia="en-CA"/>
              </w:rPr>
            </w:pPr>
            <w:r w:rsidRPr="00FA6B7B">
              <w:rPr>
                <w:sz w:val="20"/>
                <w:lang w:val="en-CA" w:eastAsia="en-CA"/>
              </w:rPr>
              <w:t>Director</w:t>
            </w:r>
          </w:p>
        </w:tc>
        <w:tc>
          <w:tcPr>
            <w:tcW w:w="266" w:type="dxa"/>
            <w:tcBorders>
              <w:left w:val="nil"/>
              <w:bottom w:val="nil"/>
              <w:right w:val="nil"/>
            </w:tcBorders>
            <w:shd w:val="clear" w:color="000000" w:fill="FFFFFF"/>
            <w:noWrap/>
            <w:vAlign w:val="bottom"/>
          </w:tcPr>
          <w:p w14:paraId="1F081186" w14:textId="77777777" w:rsidR="005F5A01" w:rsidRPr="000206BE" w:rsidRDefault="005F5A01" w:rsidP="00022507">
            <w:pPr>
              <w:widowControl/>
              <w:rPr>
                <w:sz w:val="20"/>
                <w:lang w:val="en-CA" w:eastAsia="en-CA"/>
              </w:rPr>
            </w:pPr>
            <w:r w:rsidRPr="000206BE">
              <w:rPr>
                <w:sz w:val="20"/>
                <w:lang w:val="en-CA" w:eastAsia="en-CA"/>
              </w:rPr>
              <w:t> </w:t>
            </w:r>
          </w:p>
        </w:tc>
        <w:tc>
          <w:tcPr>
            <w:tcW w:w="266" w:type="dxa"/>
            <w:tcBorders>
              <w:left w:val="nil"/>
              <w:bottom w:val="nil"/>
              <w:right w:val="nil"/>
            </w:tcBorders>
            <w:shd w:val="clear" w:color="000000" w:fill="FFFFFF"/>
            <w:noWrap/>
            <w:vAlign w:val="bottom"/>
          </w:tcPr>
          <w:p w14:paraId="139505F1" w14:textId="77777777" w:rsidR="005F5A01" w:rsidRPr="000206BE" w:rsidRDefault="005F5A01" w:rsidP="00022507">
            <w:pPr>
              <w:widowControl/>
              <w:rPr>
                <w:sz w:val="20"/>
                <w:lang w:val="en-CA" w:eastAsia="en-CA"/>
              </w:rPr>
            </w:pPr>
            <w:r w:rsidRPr="000206BE">
              <w:rPr>
                <w:sz w:val="20"/>
                <w:lang w:val="en-CA" w:eastAsia="en-CA"/>
              </w:rPr>
              <w:t> </w:t>
            </w:r>
          </w:p>
        </w:tc>
        <w:tc>
          <w:tcPr>
            <w:tcW w:w="573" w:type="dxa"/>
            <w:tcBorders>
              <w:left w:val="nil"/>
              <w:bottom w:val="nil"/>
              <w:right w:val="nil"/>
            </w:tcBorders>
            <w:shd w:val="clear" w:color="000000" w:fill="FFFFFF"/>
            <w:noWrap/>
            <w:vAlign w:val="bottom"/>
          </w:tcPr>
          <w:p w14:paraId="5711B43C" w14:textId="77777777" w:rsidR="005F5A01" w:rsidRPr="000206BE" w:rsidRDefault="005F5A01" w:rsidP="00022507">
            <w:pPr>
              <w:widowControl/>
              <w:rPr>
                <w:sz w:val="20"/>
                <w:lang w:val="en-CA" w:eastAsia="en-CA"/>
              </w:rPr>
            </w:pPr>
            <w:r w:rsidRPr="000206BE">
              <w:rPr>
                <w:sz w:val="20"/>
                <w:lang w:val="en-CA" w:eastAsia="en-CA"/>
              </w:rPr>
              <w:t> </w:t>
            </w:r>
          </w:p>
        </w:tc>
      </w:tr>
    </w:tbl>
    <w:p w14:paraId="04F6D615" w14:textId="77777777" w:rsidR="00DC5910" w:rsidRDefault="00DC5910" w:rsidP="00022507">
      <w:pPr>
        <w:widowControl/>
        <w:rPr>
          <w:b/>
          <w:bCs/>
          <w:sz w:val="20"/>
          <w:lang w:val="en-CA" w:eastAsia="en-CA"/>
        </w:rPr>
      </w:pPr>
      <w:bookmarkStart w:id="0" w:name="RANGE!A1:C36"/>
      <w:bookmarkEnd w:id="0"/>
    </w:p>
    <w:p w14:paraId="0C7F9BC1" w14:textId="77777777" w:rsidR="00912FF2" w:rsidRPr="000206BE" w:rsidRDefault="00912FF2" w:rsidP="00022507">
      <w:pPr>
        <w:widowControl/>
        <w:rPr>
          <w:b/>
          <w:bCs/>
          <w:sz w:val="20"/>
          <w:lang w:val="en-CA" w:eastAsia="en-CA"/>
        </w:rPr>
      </w:pPr>
    </w:p>
    <w:p w14:paraId="3A90E133" w14:textId="77777777" w:rsidR="007B362B" w:rsidRPr="000206BE" w:rsidRDefault="007B362B" w:rsidP="00592206">
      <w:pPr>
        <w:widowControl/>
        <w:tabs>
          <w:tab w:val="left" w:pos="2640"/>
        </w:tabs>
        <w:rPr>
          <w:b/>
          <w:bCs/>
          <w:sz w:val="20"/>
          <w:lang w:val="en-CA" w:eastAsia="en-CA"/>
        </w:rPr>
        <w:sectPr w:rsidR="007B362B" w:rsidRPr="000206BE" w:rsidSect="00592206">
          <w:headerReference w:type="even" r:id="rId19"/>
          <w:headerReference w:type="default" r:id="rId20"/>
          <w:footerReference w:type="default" r:id="rId21"/>
          <w:headerReference w:type="first" r:id="rId22"/>
          <w:footerReference w:type="first" r:id="rId23"/>
          <w:pgSz w:w="12240" w:h="15840"/>
          <w:pgMar w:top="1440" w:right="1440" w:bottom="1440" w:left="1440" w:header="706" w:footer="706" w:gutter="0"/>
          <w:cols w:space="708"/>
          <w:titlePg/>
          <w:docGrid w:linePitch="360"/>
        </w:sectPr>
      </w:pPr>
    </w:p>
    <w:tbl>
      <w:tblPr>
        <w:tblpPr w:leftFromText="180" w:rightFromText="180" w:vertAnchor="page" w:horzAnchor="margin" w:tblpY="1995"/>
        <w:tblW w:w="9366" w:type="dxa"/>
        <w:tblLayout w:type="fixed"/>
        <w:tblLook w:val="00A0" w:firstRow="1" w:lastRow="0" w:firstColumn="1" w:lastColumn="0" w:noHBand="0" w:noVBand="0"/>
      </w:tblPr>
      <w:tblGrid>
        <w:gridCol w:w="5400"/>
        <w:gridCol w:w="450"/>
        <w:gridCol w:w="270"/>
        <w:gridCol w:w="1535"/>
        <w:gridCol w:w="1711"/>
      </w:tblGrid>
      <w:tr w:rsidR="00912FF2" w:rsidRPr="000206BE" w14:paraId="40070153" w14:textId="77777777" w:rsidTr="00057DF0">
        <w:trPr>
          <w:trHeight w:val="289"/>
        </w:trPr>
        <w:tc>
          <w:tcPr>
            <w:tcW w:w="5400" w:type="dxa"/>
            <w:tcBorders>
              <w:left w:val="nil"/>
              <w:bottom w:val="double" w:sz="4" w:space="0" w:color="auto"/>
              <w:right w:val="nil"/>
            </w:tcBorders>
            <w:shd w:val="clear" w:color="000000" w:fill="FFFFFF"/>
            <w:noWrap/>
            <w:vAlign w:val="bottom"/>
          </w:tcPr>
          <w:p w14:paraId="4FF59319" w14:textId="77777777" w:rsidR="00912FF2" w:rsidRPr="000206BE" w:rsidRDefault="00912FF2" w:rsidP="00C465C5">
            <w:pPr>
              <w:widowControl/>
              <w:rPr>
                <w:b/>
                <w:sz w:val="18"/>
                <w:szCs w:val="18"/>
                <w:lang w:val="en-CA" w:eastAsia="en-CA"/>
              </w:rPr>
            </w:pPr>
          </w:p>
        </w:tc>
        <w:tc>
          <w:tcPr>
            <w:tcW w:w="450" w:type="dxa"/>
            <w:tcBorders>
              <w:left w:val="nil"/>
              <w:bottom w:val="double" w:sz="4" w:space="0" w:color="auto"/>
              <w:right w:val="nil"/>
            </w:tcBorders>
            <w:shd w:val="clear" w:color="000000" w:fill="FFFFFF"/>
            <w:vAlign w:val="bottom"/>
          </w:tcPr>
          <w:p w14:paraId="1B18FD14" w14:textId="77777777" w:rsidR="00912FF2" w:rsidRPr="000206BE" w:rsidRDefault="00912FF2" w:rsidP="00C465C5">
            <w:pPr>
              <w:widowControl/>
              <w:jc w:val="center"/>
              <w:rPr>
                <w:b/>
                <w:spacing w:val="-2"/>
                <w:sz w:val="18"/>
                <w:szCs w:val="18"/>
              </w:rPr>
            </w:pPr>
          </w:p>
        </w:tc>
        <w:tc>
          <w:tcPr>
            <w:tcW w:w="3516" w:type="dxa"/>
            <w:gridSpan w:val="3"/>
            <w:tcBorders>
              <w:left w:val="nil"/>
              <w:bottom w:val="double" w:sz="4" w:space="0" w:color="auto"/>
              <w:right w:val="nil"/>
            </w:tcBorders>
            <w:shd w:val="clear" w:color="000000" w:fill="FFFFFF"/>
            <w:vAlign w:val="bottom"/>
          </w:tcPr>
          <w:p w14:paraId="28B19753" w14:textId="77777777" w:rsidR="00912FF2" w:rsidRPr="000206BE" w:rsidRDefault="00912FF2" w:rsidP="00C465C5">
            <w:pPr>
              <w:widowControl/>
              <w:rPr>
                <w:b/>
                <w:spacing w:val="-2"/>
                <w:sz w:val="18"/>
                <w:szCs w:val="18"/>
              </w:rPr>
            </w:pPr>
          </w:p>
        </w:tc>
      </w:tr>
      <w:tr w:rsidR="00BD6C1F" w:rsidRPr="000206BE" w14:paraId="0E9E60AE" w14:textId="77777777" w:rsidTr="00BD6C1F">
        <w:trPr>
          <w:trHeight w:val="396"/>
        </w:trPr>
        <w:tc>
          <w:tcPr>
            <w:tcW w:w="5400" w:type="dxa"/>
            <w:tcBorders>
              <w:top w:val="double" w:sz="4" w:space="0" w:color="auto"/>
              <w:left w:val="nil"/>
              <w:right w:val="nil"/>
            </w:tcBorders>
            <w:shd w:val="clear" w:color="000000" w:fill="FFFFFF"/>
            <w:noWrap/>
            <w:vAlign w:val="bottom"/>
          </w:tcPr>
          <w:p w14:paraId="67CAB381" w14:textId="6F274680" w:rsidR="00BD6C1F" w:rsidRPr="000206BE" w:rsidRDefault="00BD6C1F" w:rsidP="00C465C5">
            <w:pPr>
              <w:ind w:firstLineChars="100" w:firstLine="181"/>
              <w:rPr>
                <w:b/>
                <w:sz w:val="18"/>
                <w:szCs w:val="18"/>
                <w:lang w:val="en-CA" w:eastAsia="en-CA"/>
              </w:rPr>
            </w:pPr>
          </w:p>
        </w:tc>
        <w:tc>
          <w:tcPr>
            <w:tcW w:w="450" w:type="dxa"/>
            <w:tcBorders>
              <w:top w:val="double" w:sz="4" w:space="0" w:color="auto"/>
              <w:left w:val="nil"/>
              <w:right w:val="nil"/>
            </w:tcBorders>
            <w:shd w:val="clear" w:color="000000" w:fill="FFFFFF"/>
            <w:vAlign w:val="bottom"/>
          </w:tcPr>
          <w:p w14:paraId="66553A59" w14:textId="77777777" w:rsidR="00BD6C1F" w:rsidRPr="000206BE" w:rsidRDefault="00BD6C1F" w:rsidP="00C465C5">
            <w:pPr>
              <w:widowControl/>
              <w:jc w:val="right"/>
              <w:rPr>
                <w:b/>
                <w:spacing w:val="-2"/>
                <w:sz w:val="18"/>
                <w:szCs w:val="18"/>
              </w:rPr>
            </w:pPr>
          </w:p>
        </w:tc>
        <w:tc>
          <w:tcPr>
            <w:tcW w:w="270" w:type="dxa"/>
            <w:tcBorders>
              <w:top w:val="double" w:sz="4" w:space="0" w:color="auto"/>
              <w:left w:val="nil"/>
              <w:right w:val="nil"/>
            </w:tcBorders>
            <w:shd w:val="clear" w:color="000000" w:fill="FFFFFF"/>
          </w:tcPr>
          <w:p w14:paraId="6EAC440B" w14:textId="77777777" w:rsidR="00BD6C1F" w:rsidRPr="000206BE" w:rsidRDefault="00BD6C1F" w:rsidP="00C465C5">
            <w:pPr>
              <w:widowControl/>
              <w:jc w:val="right"/>
              <w:rPr>
                <w:sz w:val="18"/>
                <w:szCs w:val="18"/>
                <w:lang w:val="en-CA" w:eastAsia="en-CA"/>
              </w:rPr>
            </w:pPr>
          </w:p>
        </w:tc>
        <w:tc>
          <w:tcPr>
            <w:tcW w:w="3246" w:type="dxa"/>
            <w:gridSpan w:val="2"/>
            <w:tcBorders>
              <w:top w:val="double" w:sz="4" w:space="0" w:color="auto"/>
              <w:left w:val="nil"/>
              <w:right w:val="nil"/>
            </w:tcBorders>
            <w:shd w:val="clear" w:color="000000" w:fill="FFFFFF"/>
            <w:vAlign w:val="center"/>
          </w:tcPr>
          <w:p w14:paraId="59117ABC" w14:textId="55A1F84A" w:rsidR="00BD6C1F" w:rsidRPr="000206BE" w:rsidRDefault="00BD6C1F" w:rsidP="00BD6C1F">
            <w:pPr>
              <w:widowControl/>
              <w:jc w:val="center"/>
              <w:rPr>
                <w:b/>
                <w:spacing w:val="-2"/>
                <w:sz w:val="18"/>
                <w:szCs w:val="18"/>
              </w:rPr>
            </w:pPr>
            <w:r>
              <w:rPr>
                <w:b/>
                <w:spacing w:val="-2"/>
                <w:sz w:val="18"/>
                <w:szCs w:val="18"/>
              </w:rPr>
              <w:t>Three months ended</w:t>
            </w:r>
          </w:p>
        </w:tc>
      </w:tr>
      <w:tr w:rsidR="00BD6C1F" w:rsidRPr="000206BE" w14:paraId="5126BC22" w14:textId="77777777" w:rsidTr="00057DF0">
        <w:trPr>
          <w:trHeight w:val="396"/>
        </w:trPr>
        <w:tc>
          <w:tcPr>
            <w:tcW w:w="5400" w:type="dxa"/>
            <w:tcBorders>
              <w:left w:val="nil"/>
              <w:right w:val="nil"/>
            </w:tcBorders>
            <w:shd w:val="clear" w:color="000000" w:fill="FFFFFF"/>
            <w:noWrap/>
            <w:vAlign w:val="bottom"/>
          </w:tcPr>
          <w:p w14:paraId="0EC3DD48" w14:textId="77777777" w:rsidR="00BD6C1F" w:rsidRPr="000206BE" w:rsidRDefault="00BD6C1F" w:rsidP="00BD6C1F">
            <w:pPr>
              <w:ind w:firstLineChars="100" w:firstLine="181"/>
              <w:jc w:val="right"/>
              <w:rPr>
                <w:b/>
                <w:sz w:val="18"/>
                <w:szCs w:val="18"/>
                <w:lang w:val="en-CA" w:eastAsia="en-CA"/>
              </w:rPr>
            </w:pPr>
          </w:p>
        </w:tc>
        <w:tc>
          <w:tcPr>
            <w:tcW w:w="450" w:type="dxa"/>
            <w:tcBorders>
              <w:left w:val="nil"/>
              <w:right w:val="nil"/>
            </w:tcBorders>
            <w:shd w:val="clear" w:color="000000" w:fill="FFFFFF"/>
            <w:vAlign w:val="bottom"/>
          </w:tcPr>
          <w:p w14:paraId="0B0CD71F" w14:textId="77777777" w:rsidR="00BD6C1F" w:rsidRPr="000206BE" w:rsidRDefault="00BD6C1F" w:rsidP="00BD6C1F">
            <w:pPr>
              <w:widowControl/>
              <w:jc w:val="right"/>
              <w:rPr>
                <w:b/>
                <w:spacing w:val="-2"/>
                <w:sz w:val="18"/>
                <w:szCs w:val="18"/>
              </w:rPr>
            </w:pPr>
          </w:p>
        </w:tc>
        <w:tc>
          <w:tcPr>
            <w:tcW w:w="270" w:type="dxa"/>
            <w:tcBorders>
              <w:left w:val="nil"/>
              <w:right w:val="nil"/>
            </w:tcBorders>
            <w:shd w:val="clear" w:color="000000" w:fill="FFFFFF"/>
            <w:vAlign w:val="bottom"/>
          </w:tcPr>
          <w:p w14:paraId="06A56A13" w14:textId="77777777" w:rsidR="00BD6C1F" w:rsidRPr="000206BE" w:rsidRDefault="00BD6C1F" w:rsidP="00BD6C1F">
            <w:pPr>
              <w:widowControl/>
              <w:jc w:val="right"/>
              <w:rPr>
                <w:sz w:val="18"/>
                <w:szCs w:val="18"/>
                <w:lang w:val="en-CA" w:eastAsia="en-CA"/>
              </w:rPr>
            </w:pPr>
          </w:p>
        </w:tc>
        <w:tc>
          <w:tcPr>
            <w:tcW w:w="1535" w:type="dxa"/>
            <w:tcBorders>
              <w:left w:val="nil"/>
              <w:right w:val="nil"/>
            </w:tcBorders>
            <w:shd w:val="clear" w:color="000000" w:fill="FFFFFF"/>
            <w:vAlign w:val="bottom"/>
          </w:tcPr>
          <w:p w14:paraId="6EE7DCC8" w14:textId="41F7EB83" w:rsidR="00BD6C1F" w:rsidRDefault="00BD6C1F" w:rsidP="00BD6C1F">
            <w:pPr>
              <w:widowControl/>
              <w:jc w:val="right"/>
              <w:rPr>
                <w:b/>
                <w:spacing w:val="-2"/>
                <w:sz w:val="18"/>
                <w:szCs w:val="18"/>
              </w:rPr>
            </w:pPr>
            <w:r>
              <w:rPr>
                <w:b/>
                <w:spacing w:val="-2"/>
                <w:sz w:val="18"/>
                <w:szCs w:val="18"/>
              </w:rPr>
              <w:t>June 30</w:t>
            </w:r>
            <w:r w:rsidRPr="000206BE">
              <w:rPr>
                <w:b/>
                <w:spacing w:val="-2"/>
                <w:sz w:val="18"/>
                <w:szCs w:val="18"/>
              </w:rPr>
              <w:t xml:space="preserve">, </w:t>
            </w:r>
          </w:p>
          <w:p w14:paraId="12E31C05" w14:textId="500DD7F8" w:rsidR="00BD6C1F" w:rsidRPr="000206BE" w:rsidRDefault="00BD6C1F" w:rsidP="00BD6C1F">
            <w:pPr>
              <w:widowControl/>
              <w:jc w:val="right"/>
              <w:rPr>
                <w:b/>
                <w:spacing w:val="-2"/>
                <w:sz w:val="18"/>
                <w:szCs w:val="18"/>
              </w:rPr>
            </w:pPr>
            <w:r w:rsidRPr="000206BE">
              <w:rPr>
                <w:b/>
                <w:spacing w:val="-2"/>
                <w:sz w:val="18"/>
                <w:szCs w:val="18"/>
              </w:rPr>
              <w:t>20</w:t>
            </w:r>
            <w:r>
              <w:rPr>
                <w:b/>
                <w:spacing w:val="-2"/>
                <w:sz w:val="18"/>
                <w:szCs w:val="18"/>
              </w:rPr>
              <w:t>20</w:t>
            </w:r>
          </w:p>
        </w:tc>
        <w:tc>
          <w:tcPr>
            <w:tcW w:w="1711" w:type="dxa"/>
            <w:tcBorders>
              <w:left w:val="nil"/>
              <w:right w:val="nil"/>
            </w:tcBorders>
            <w:shd w:val="clear" w:color="000000" w:fill="FFFFFF"/>
          </w:tcPr>
          <w:p w14:paraId="3E2333EA" w14:textId="3CE1ED7A" w:rsidR="00BD6C1F" w:rsidRDefault="00BD6C1F" w:rsidP="00BD6C1F">
            <w:pPr>
              <w:widowControl/>
              <w:jc w:val="right"/>
              <w:rPr>
                <w:b/>
                <w:spacing w:val="-2"/>
                <w:sz w:val="18"/>
                <w:szCs w:val="18"/>
              </w:rPr>
            </w:pPr>
            <w:r>
              <w:rPr>
                <w:b/>
                <w:spacing w:val="-2"/>
                <w:sz w:val="18"/>
                <w:szCs w:val="18"/>
              </w:rPr>
              <w:t>June 30</w:t>
            </w:r>
            <w:r w:rsidRPr="000206BE">
              <w:rPr>
                <w:b/>
                <w:spacing w:val="-2"/>
                <w:sz w:val="18"/>
                <w:szCs w:val="18"/>
              </w:rPr>
              <w:t xml:space="preserve">, </w:t>
            </w:r>
          </w:p>
          <w:p w14:paraId="2DB69960" w14:textId="678B6448" w:rsidR="00BD6C1F" w:rsidRPr="000206BE" w:rsidRDefault="00BD6C1F" w:rsidP="00BD6C1F">
            <w:pPr>
              <w:widowControl/>
              <w:jc w:val="right"/>
              <w:rPr>
                <w:b/>
                <w:spacing w:val="-2"/>
                <w:sz w:val="18"/>
                <w:szCs w:val="18"/>
              </w:rPr>
            </w:pPr>
            <w:r w:rsidRPr="000206BE">
              <w:rPr>
                <w:b/>
                <w:spacing w:val="-2"/>
                <w:sz w:val="18"/>
                <w:szCs w:val="18"/>
              </w:rPr>
              <w:t>201</w:t>
            </w:r>
            <w:r>
              <w:rPr>
                <w:b/>
                <w:spacing w:val="-2"/>
                <w:sz w:val="18"/>
                <w:szCs w:val="18"/>
              </w:rPr>
              <w:t>9</w:t>
            </w:r>
          </w:p>
        </w:tc>
      </w:tr>
      <w:tr w:rsidR="00BD6C1F" w:rsidRPr="000206BE" w14:paraId="419EF57A" w14:textId="77777777" w:rsidTr="00057DF0">
        <w:trPr>
          <w:trHeight w:val="162"/>
        </w:trPr>
        <w:tc>
          <w:tcPr>
            <w:tcW w:w="5400" w:type="dxa"/>
            <w:tcBorders>
              <w:left w:val="nil"/>
              <w:bottom w:val="single" w:sz="4" w:space="0" w:color="auto"/>
              <w:right w:val="nil"/>
            </w:tcBorders>
            <w:shd w:val="clear" w:color="000000" w:fill="FFFFFF"/>
            <w:noWrap/>
            <w:vAlign w:val="bottom"/>
          </w:tcPr>
          <w:p w14:paraId="6CEFB9A4" w14:textId="3ABE1762" w:rsidR="00BD6C1F" w:rsidRPr="000206BE" w:rsidRDefault="00BD6C1F" w:rsidP="00BD6C1F">
            <w:pPr>
              <w:ind w:firstLineChars="100" w:firstLine="181"/>
              <w:rPr>
                <w:b/>
                <w:bCs/>
                <w:sz w:val="18"/>
                <w:szCs w:val="18"/>
                <w:lang w:val="en-CA" w:eastAsia="en-CA"/>
              </w:rPr>
            </w:pPr>
          </w:p>
        </w:tc>
        <w:tc>
          <w:tcPr>
            <w:tcW w:w="450" w:type="dxa"/>
            <w:tcBorders>
              <w:left w:val="nil"/>
              <w:bottom w:val="single" w:sz="4" w:space="0" w:color="auto"/>
              <w:right w:val="nil"/>
            </w:tcBorders>
            <w:shd w:val="clear" w:color="000000" w:fill="FFFFFF"/>
            <w:noWrap/>
            <w:vAlign w:val="bottom"/>
          </w:tcPr>
          <w:p w14:paraId="43B1BEE4" w14:textId="77777777" w:rsidR="00BD6C1F" w:rsidRPr="000206BE" w:rsidRDefault="00BD6C1F" w:rsidP="00BD6C1F">
            <w:pPr>
              <w:tabs>
                <w:tab w:val="decimal" w:pos="1062"/>
              </w:tabs>
              <w:jc w:val="right"/>
              <w:rPr>
                <w:b/>
                <w:spacing w:val="-2"/>
                <w:sz w:val="18"/>
                <w:szCs w:val="18"/>
              </w:rPr>
            </w:pPr>
          </w:p>
        </w:tc>
        <w:tc>
          <w:tcPr>
            <w:tcW w:w="270" w:type="dxa"/>
            <w:tcBorders>
              <w:left w:val="nil"/>
              <w:bottom w:val="single" w:sz="4" w:space="0" w:color="auto"/>
              <w:right w:val="nil"/>
            </w:tcBorders>
            <w:shd w:val="clear" w:color="000000" w:fill="FFFFFF"/>
          </w:tcPr>
          <w:p w14:paraId="14F5037A" w14:textId="77777777" w:rsidR="00BD6C1F" w:rsidRPr="000206BE" w:rsidRDefault="00BD6C1F" w:rsidP="00BD6C1F">
            <w:pPr>
              <w:widowControl/>
              <w:jc w:val="right"/>
              <w:rPr>
                <w:sz w:val="18"/>
                <w:szCs w:val="18"/>
                <w:lang w:val="en-CA" w:eastAsia="en-CA"/>
              </w:rPr>
            </w:pPr>
          </w:p>
        </w:tc>
        <w:tc>
          <w:tcPr>
            <w:tcW w:w="1535" w:type="dxa"/>
            <w:tcBorders>
              <w:left w:val="nil"/>
              <w:bottom w:val="single" w:sz="4" w:space="0" w:color="auto"/>
              <w:right w:val="nil"/>
            </w:tcBorders>
            <w:shd w:val="clear" w:color="000000" w:fill="FFFFFF"/>
            <w:vAlign w:val="bottom"/>
          </w:tcPr>
          <w:p w14:paraId="16932036" w14:textId="77777777" w:rsidR="00BD6C1F" w:rsidRPr="000206BE" w:rsidRDefault="00BD6C1F" w:rsidP="00BD6C1F">
            <w:pPr>
              <w:widowControl/>
              <w:jc w:val="right"/>
              <w:rPr>
                <w:spacing w:val="-2"/>
                <w:sz w:val="18"/>
                <w:szCs w:val="18"/>
              </w:rPr>
            </w:pPr>
            <w:r w:rsidRPr="000206BE">
              <w:rPr>
                <w:b/>
                <w:spacing w:val="-2"/>
                <w:sz w:val="18"/>
                <w:szCs w:val="18"/>
              </w:rPr>
              <w:t>$</w:t>
            </w:r>
          </w:p>
        </w:tc>
        <w:tc>
          <w:tcPr>
            <w:tcW w:w="1711" w:type="dxa"/>
            <w:tcBorders>
              <w:left w:val="nil"/>
              <w:bottom w:val="single" w:sz="4" w:space="0" w:color="auto"/>
              <w:right w:val="nil"/>
            </w:tcBorders>
            <w:shd w:val="clear" w:color="000000" w:fill="FFFFFF"/>
          </w:tcPr>
          <w:p w14:paraId="254776A2" w14:textId="77777777" w:rsidR="00BD6C1F" w:rsidRPr="000206BE" w:rsidRDefault="00BD6C1F" w:rsidP="00BD6C1F">
            <w:pPr>
              <w:widowControl/>
              <w:jc w:val="right"/>
              <w:rPr>
                <w:spacing w:val="-2"/>
                <w:sz w:val="18"/>
                <w:szCs w:val="18"/>
              </w:rPr>
            </w:pPr>
            <w:r w:rsidRPr="000206BE">
              <w:rPr>
                <w:spacing w:val="-2"/>
                <w:sz w:val="18"/>
                <w:szCs w:val="18"/>
              </w:rPr>
              <w:t>$</w:t>
            </w:r>
          </w:p>
        </w:tc>
      </w:tr>
      <w:tr w:rsidR="00BD6C1F" w:rsidRPr="000206BE" w14:paraId="7E466487" w14:textId="77777777" w:rsidTr="00057DF0">
        <w:trPr>
          <w:trHeight w:val="287"/>
        </w:trPr>
        <w:tc>
          <w:tcPr>
            <w:tcW w:w="5400" w:type="dxa"/>
            <w:tcBorders>
              <w:top w:val="nil"/>
              <w:left w:val="nil"/>
              <w:bottom w:val="nil"/>
              <w:right w:val="nil"/>
            </w:tcBorders>
            <w:shd w:val="clear" w:color="000000" w:fill="FFFFFF"/>
            <w:noWrap/>
            <w:vAlign w:val="bottom"/>
          </w:tcPr>
          <w:p w14:paraId="0A3C0DE2" w14:textId="77777777" w:rsidR="00BD6C1F" w:rsidRPr="000206BE" w:rsidRDefault="00BD6C1F" w:rsidP="00BD6C1F">
            <w:pPr>
              <w:ind w:firstLineChars="100" w:firstLine="181"/>
              <w:rPr>
                <w:sz w:val="18"/>
                <w:szCs w:val="18"/>
              </w:rPr>
            </w:pPr>
            <w:r w:rsidRPr="000206BE">
              <w:rPr>
                <w:b/>
                <w:sz w:val="18"/>
                <w:szCs w:val="18"/>
              </w:rPr>
              <w:t xml:space="preserve">EXPENSES </w:t>
            </w:r>
          </w:p>
        </w:tc>
        <w:tc>
          <w:tcPr>
            <w:tcW w:w="450" w:type="dxa"/>
            <w:tcBorders>
              <w:top w:val="nil"/>
              <w:left w:val="nil"/>
              <w:bottom w:val="nil"/>
              <w:right w:val="nil"/>
            </w:tcBorders>
            <w:shd w:val="clear" w:color="000000" w:fill="FFFFFF"/>
            <w:noWrap/>
            <w:vAlign w:val="bottom"/>
          </w:tcPr>
          <w:p w14:paraId="3CED524C" w14:textId="77777777" w:rsidR="00BD6C1F" w:rsidRPr="000206BE" w:rsidRDefault="00BD6C1F" w:rsidP="00BD6C1F">
            <w:pPr>
              <w:tabs>
                <w:tab w:val="decimal" w:pos="1062"/>
              </w:tabs>
              <w:jc w:val="right"/>
              <w:rPr>
                <w:b/>
                <w:spacing w:val="-2"/>
                <w:sz w:val="18"/>
                <w:szCs w:val="18"/>
              </w:rPr>
            </w:pPr>
          </w:p>
        </w:tc>
        <w:tc>
          <w:tcPr>
            <w:tcW w:w="270" w:type="dxa"/>
            <w:tcBorders>
              <w:top w:val="nil"/>
              <w:left w:val="nil"/>
              <w:bottom w:val="nil"/>
              <w:right w:val="nil"/>
            </w:tcBorders>
            <w:shd w:val="clear" w:color="000000" w:fill="FFFFFF"/>
            <w:vAlign w:val="bottom"/>
          </w:tcPr>
          <w:p w14:paraId="777AF41D" w14:textId="77777777" w:rsidR="00BD6C1F" w:rsidRPr="000206BE" w:rsidRDefault="00BD6C1F" w:rsidP="00BD6C1F">
            <w:pPr>
              <w:tabs>
                <w:tab w:val="decimal" w:pos="1004"/>
              </w:tabs>
              <w:jc w:val="right"/>
              <w:rPr>
                <w:spacing w:val="-2"/>
                <w:sz w:val="18"/>
                <w:szCs w:val="18"/>
              </w:rPr>
            </w:pPr>
          </w:p>
        </w:tc>
        <w:tc>
          <w:tcPr>
            <w:tcW w:w="1535" w:type="dxa"/>
            <w:tcBorders>
              <w:top w:val="nil"/>
              <w:left w:val="nil"/>
              <w:bottom w:val="nil"/>
              <w:right w:val="nil"/>
            </w:tcBorders>
            <w:shd w:val="clear" w:color="000000" w:fill="FFFFFF"/>
          </w:tcPr>
          <w:p w14:paraId="42F3F9D1" w14:textId="77777777" w:rsidR="00BD6C1F" w:rsidRPr="000206BE" w:rsidRDefault="00BD6C1F" w:rsidP="00BD6C1F">
            <w:pPr>
              <w:tabs>
                <w:tab w:val="decimal" w:pos="1004"/>
              </w:tabs>
              <w:jc w:val="right"/>
              <w:rPr>
                <w:spacing w:val="-2"/>
                <w:sz w:val="18"/>
                <w:szCs w:val="18"/>
              </w:rPr>
            </w:pPr>
          </w:p>
        </w:tc>
        <w:tc>
          <w:tcPr>
            <w:tcW w:w="1711" w:type="dxa"/>
            <w:tcBorders>
              <w:top w:val="nil"/>
              <w:left w:val="nil"/>
              <w:bottom w:val="nil"/>
              <w:right w:val="nil"/>
            </w:tcBorders>
            <w:shd w:val="clear" w:color="000000" w:fill="FFFFFF"/>
          </w:tcPr>
          <w:p w14:paraId="24C39561" w14:textId="77777777" w:rsidR="00BD6C1F" w:rsidRPr="000206BE" w:rsidRDefault="00BD6C1F" w:rsidP="00BD6C1F">
            <w:pPr>
              <w:tabs>
                <w:tab w:val="decimal" w:pos="1004"/>
              </w:tabs>
              <w:ind w:right="-8"/>
              <w:jc w:val="right"/>
              <w:rPr>
                <w:spacing w:val="-2"/>
                <w:sz w:val="18"/>
                <w:szCs w:val="18"/>
              </w:rPr>
            </w:pPr>
          </w:p>
        </w:tc>
      </w:tr>
      <w:tr w:rsidR="00BD6C1F" w:rsidRPr="000206BE" w14:paraId="7B3754BE" w14:textId="77777777" w:rsidTr="00057DF0">
        <w:trPr>
          <w:trHeight w:val="282"/>
        </w:trPr>
        <w:tc>
          <w:tcPr>
            <w:tcW w:w="5400" w:type="dxa"/>
            <w:tcBorders>
              <w:top w:val="nil"/>
              <w:left w:val="nil"/>
              <w:bottom w:val="nil"/>
              <w:right w:val="nil"/>
            </w:tcBorders>
            <w:shd w:val="clear" w:color="000000" w:fill="FFFFFF"/>
            <w:noWrap/>
            <w:vAlign w:val="center"/>
          </w:tcPr>
          <w:p w14:paraId="6D8B9B62" w14:textId="77777777" w:rsidR="00BD6C1F" w:rsidRPr="000206BE" w:rsidRDefault="00BD6C1F" w:rsidP="00BD6C1F">
            <w:pPr>
              <w:ind w:firstLineChars="100" w:firstLine="180"/>
              <w:rPr>
                <w:sz w:val="18"/>
                <w:szCs w:val="18"/>
              </w:rPr>
            </w:pPr>
            <w:r w:rsidRPr="000206BE">
              <w:rPr>
                <w:sz w:val="18"/>
                <w:szCs w:val="18"/>
              </w:rPr>
              <w:t>Professional fees</w:t>
            </w:r>
          </w:p>
        </w:tc>
        <w:tc>
          <w:tcPr>
            <w:tcW w:w="450" w:type="dxa"/>
            <w:tcBorders>
              <w:top w:val="nil"/>
              <w:left w:val="nil"/>
              <w:bottom w:val="nil"/>
              <w:right w:val="nil"/>
            </w:tcBorders>
            <w:shd w:val="clear" w:color="000000" w:fill="FFFFFF"/>
            <w:noWrap/>
            <w:vAlign w:val="bottom"/>
          </w:tcPr>
          <w:p w14:paraId="1FD4E0AF" w14:textId="77777777" w:rsidR="00BD6C1F" w:rsidRPr="000206BE" w:rsidRDefault="00BD6C1F" w:rsidP="00BD6C1F">
            <w:pPr>
              <w:tabs>
                <w:tab w:val="decimal" w:pos="697"/>
              </w:tabs>
              <w:jc w:val="right"/>
              <w:rPr>
                <w:b/>
                <w:spacing w:val="-2"/>
                <w:sz w:val="18"/>
                <w:szCs w:val="18"/>
              </w:rPr>
            </w:pPr>
          </w:p>
        </w:tc>
        <w:tc>
          <w:tcPr>
            <w:tcW w:w="270" w:type="dxa"/>
            <w:tcBorders>
              <w:top w:val="nil"/>
              <w:left w:val="nil"/>
              <w:bottom w:val="nil"/>
              <w:right w:val="nil"/>
            </w:tcBorders>
            <w:shd w:val="clear" w:color="000000" w:fill="FFFFFF"/>
            <w:vAlign w:val="bottom"/>
          </w:tcPr>
          <w:p w14:paraId="44BC6A92" w14:textId="77777777" w:rsidR="00BD6C1F" w:rsidRPr="000206BE" w:rsidRDefault="00BD6C1F" w:rsidP="00BD6C1F">
            <w:pPr>
              <w:widowControl/>
              <w:jc w:val="right"/>
              <w:rPr>
                <w:spacing w:val="-2"/>
                <w:sz w:val="18"/>
                <w:szCs w:val="18"/>
              </w:rPr>
            </w:pPr>
          </w:p>
        </w:tc>
        <w:tc>
          <w:tcPr>
            <w:tcW w:w="1535" w:type="dxa"/>
            <w:tcBorders>
              <w:top w:val="nil"/>
              <w:left w:val="nil"/>
              <w:bottom w:val="nil"/>
              <w:right w:val="nil"/>
            </w:tcBorders>
            <w:shd w:val="clear" w:color="auto" w:fill="auto"/>
            <w:vAlign w:val="bottom"/>
          </w:tcPr>
          <w:p w14:paraId="0B514A72" w14:textId="426A0106" w:rsidR="00BD6C1F" w:rsidRPr="000206BE" w:rsidRDefault="00314CEE" w:rsidP="00BD6C1F">
            <w:pPr>
              <w:widowControl/>
              <w:jc w:val="right"/>
              <w:rPr>
                <w:b/>
                <w:spacing w:val="-2"/>
                <w:sz w:val="18"/>
                <w:szCs w:val="18"/>
              </w:rPr>
            </w:pPr>
            <w:r>
              <w:rPr>
                <w:b/>
                <w:spacing w:val="-2"/>
                <w:sz w:val="18"/>
                <w:szCs w:val="18"/>
              </w:rPr>
              <w:t>24,700</w:t>
            </w:r>
          </w:p>
        </w:tc>
        <w:tc>
          <w:tcPr>
            <w:tcW w:w="1711" w:type="dxa"/>
            <w:tcBorders>
              <w:top w:val="nil"/>
              <w:left w:val="nil"/>
              <w:bottom w:val="nil"/>
              <w:right w:val="nil"/>
            </w:tcBorders>
            <w:shd w:val="clear" w:color="000000" w:fill="FFFFFF"/>
            <w:vAlign w:val="bottom"/>
          </w:tcPr>
          <w:p w14:paraId="48A19E00" w14:textId="5466B564" w:rsidR="00BD6C1F" w:rsidRPr="00586E8D" w:rsidRDefault="00F119DC" w:rsidP="00BD6C1F">
            <w:pPr>
              <w:widowControl/>
              <w:jc w:val="right"/>
              <w:rPr>
                <w:bCs/>
                <w:spacing w:val="-2"/>
                <w:sz w:val="18"/>
                <w:szCs w:val="18"/>
              </w:rPr>
            </w:pPr>
            <w:r>
              <w:rPr>
                <w:bCs/>
                <w:spacing w:val="-2"/>
                <w:sz w:val="18"/>
                <w:szCs w:val="18"/>
              </w:rPr>
              <w:t>16,601</w:t>
            </w:r>
          </w:p>
        </w:tc>
      </w:tr>
      <w:tr w:rsidR="00BD6C1F" w:rsidRPr="000206BE" w14:paraId="410836B4" w14:textId="77777777" w:rsidTr="00057DF0">
        <w:trPr>
          <w:trHeight w:val="282"/>
        </w:trPr>
        <w:tc>
          <w:tcPr>
            <w:tcW w:w="5400" w:type="dxa"/>
            <w:tcBorders>
              <w:top w:val="nil"/>
              <w:left w:val="nil"/>
              <w:bottom w:val="nil"/>
              <w:right w:val="nil"/>
            </w:tcBorders>
            <w:shd w:val="clear" w:color="000000" w:fill="FFFFFF"/>
            <w:noWrap/>
            <w:vAlign w:val="center"/>
          </w:tcPr>
          <w:p w14:paraId="14BAE8B3" w14:textId="02D254BF" w:rsidR="00BD6C1F" w:rsidRPr="000206BE" w:rsidRDefault="00BD6C1F" w:rsidP="00BD6C1F">
            <w:pPr>
              <w:ind w:firstLineChars="100" w:firstLine="180"/>
              <w:rPr>
                <w:i/>
                <w:sz w:val="18"/>
                <w:szCs w:val="18"/>
              </w:rPr>
            </w:pPr>
            <w:r w:rsidRPr="000206BE">
              <w:rPr>
                <w:sz w:val="18"/>
                <w:szCs w:val="18"/>
              </w:rPr>
              <w:t xml:space="preserve">General and administrative </w:t>
            </w:r>
            <w:r w:rsidRPr="000206BE">
              <w:rPr>
                <w:i/>
                <w:sz w:val="18"/>
                <w:szCs w:val="18"/>
              </w:rPr>
              <w:t>(note</w:t>
            </w:r>
            <w:r>
              <w:rPr>
                <w:i/>
                <w:sz w:val="18"/>
                <w:szCs w:val="18"/>
              </w:rPr>
              <w:t>s</w:t>
            </w:r>
            <w:r w:rsidRPr="000206BE">
              <w:rPr>
                <w:i/>
                <w:sz w:val="18"/>
                <w:szCs w:val="18"/>
              </w:rPr>
              <w:t xml:space="preserve"> </w:t>
            </w:r>
            <w:r>
              <w:rPr>
                <w:i/>
                <w:sz w:val="18"/>
                <w:szCs w:val="18"/>
              </w:rPr>
              <w:t>8 and 10</w:t>
            </w:r>
            <w:r w:rsidRPr="000206BE">
              <w:rPr>
                <w:i/>
                <w:sz w:val="18"/>
                <w:szCs w:val="18"/>
              </w:rPr>
              <w:t>)</w:t>
            </w:r>
          </w:p>
        </w:tc>
        <w:tc>
          <w:tcPr>
            <w:tcW w:w="450" w:type="dxa"/>
            <w:tcBorders>
              <w:top w:val="nil"/>
              <w:left w:val="nil"/>
              <w:bottom w:val="nil"/>
              <w:right w:val="nil"/>
            </w:tcBorders>
            <w:shd w:val="clear" w:color="000000" w:fill="FFFFFF"/>
            <w:noWrap/>
            <w:vAlign w:val="bottom"/>
          </w:tcPr>
          <w:p w14:paraId="617DCF40" w14:textId="77777777" w:rsidR="00BD6C1F" w:rsidRPr="000206BE" w:rsidRDefault="00BD6C1F" w:rsidP="00BD6C1F">
            <w:pPr>
              <w:tabs>
                <w:tab w:val="decimal" w:pos="1062"/>
              </w:tabs>
              <w:jc w:val="right"/>
              <w:rPr>
                <w:b/>
                <w:spacing w:val="-2"/>
                <w:sz w:val="18"/>
                <w:szCs w:val="18"/>
              </w:rPr>
            </w:pPr>
          </w:p>
        </w:tc>
        <w:tc>
          <w:tcPr>
            <w:tcW w:w="270" w:type="dxa"/>
            <w:tcBorders>
              <w:top w:val="nil"/>
              <w:left w:val="nil"/>
              <w:bottom w:val="nil"/>
              <w:right w:val="nil"/>
            </w:tcBorders>
            <w:shd w:val="clear" w:color="000000" w:fill="FFFFFF"/>
            <w:vAlign w:val="bottom"/>
          </w:tcPr>
          <w:p w14:paraId="3284BB3E" w14:textId="77777777" w:rsidR="00BD6C1F" w:rsidRPr="000206BE" w:rsidRDefault="00BD6C1F" w:rsidP="00BD6C1F">
            <w:pPr>
              <w:widowControl/>
              <w:jc w:val="right"/>
              <w:rPr>
                <w:spacing w:val="-2"/>
                <w:sz w:val="18"/>
                <w:szCs w:val="18"/>
              </w:rPr>
            </w:pPr>
          </w:p>
        </w:tc>
        <w:tc>
          <w:tcPr>
            <w:tcW w:w="1535" w:type="dxa"/>
            <w:tcBorders>
              <w:top w:val="nil"/>
              <w:left w:val="nil"/>
              <w:bottom w:val="nil"/>
              <w:right w:val="nil"/>
            </w:tcBorders>
            <w:shd w:val="clear" w:color="auto" w:fill="auto"/>
            <w:vAlign w:val="bottom"/>
          </w:tcPr>
          <w:p w14:paraId="29101011" w14:textId="5C562310" w:rsidR="00BD6C1F" w:rsidRPr="000206BE" w:rsidRDefault="00314CEE" w:rsidP="00BD6C1F">
            <w:pPr>
              <w:widowControl/>
              <w:jc w:val="right"/>
              <w:rPr>
                <w:b/>
                <w:spacing w:val="-2"/>
                <w:sz w:val="18"/>
                <w:szCs w:val="18"/>
              </w:rPr>
            </w:pPr>
            <w:r>
              <w:rPr>
                <w:b/>
                <w:spacing w:val="-2"/>
                <w:sz w:val="18"/>
                <w:szCs w:val="18"/>
              </w:rPr>
              <w:t>5,325</w:t>
            </w:r>
          </w:p>
        </w:tc>
        <w:tc>
          <w:tcPr>
            <w:tcW w:w="1711" w:type="dxa"/>
            <w:tcBorders>
              <w:top w:val="nil"/>
              <w:left w:val="nil"/>
              <w:bottom w:val="nil"/>
              <w:right w:val="nil"/>
            </w:tcBorders>
            <w:shd w:val="clear" w:color="000000" w:fill="FFFFFF"/>
            <w:vAlign w:val="bottom"/>
          </w:tcPr>
          <w:p w14:paraId="68452E25" w14:textId="6D6472BA" w:rsidR="00BD6C1F" w:rsidRPr="00586E8D" w:rsidRDefault="00F119DC" w:rsidP="00BD6C1F">
            <w:pPr>
              <w:widowControl/>
              <w:jc w:val="right"/>
              <w:rPr>
                <w:bCs/>
                <w:spacing w:val="-2"/>
                <w:sz w:val="18"/>
                <w:szCs w:val="18"/>
              </w:rPr>
            </w:pPr>
            <w:r>
              <w:rPr>
                <w:bCs/>
                <w:spacing w:val="-2"/>
                <w:sz w:val="18"/>
                <w:szCs w:val="18"/>
              </w:rPr>
              <w:t>57,653</w:t>
            </w:r>
          </w:p>
        </w:tc>
      </w:tr>
      <w:tr w:rsidR="00BD6C1F" w:rsidRPr="000206BE" w14:paraId="23273B03" w14:textId="77777777" w:rsidTr="00057DF0">
        <w:trPr>
          <w:trHeight w:val="270"/>
        </w:trPr>
        <w:tc>
          <w:tcPr>
            <w:tcW w:w="5400" w:type="dxa"/>
            <w:tcBorders>
              <w:top w:val="nil"/>
              <w:left w:val="nil"/>
              <w:bottom w:val="nil"/>
              <w:right w:val="nil"/>
            </w:tcBorders>
            <w:shd w:val="clear" w:color="000000" w:fill="FFFFFF"/>
            <w:noWrap/>
            <w:vAlign w:val="center"/>
          </w:tcPr>
          <w:p w14:paraId="73277B7E" w14:textId="77777777" w:rsidR="00BD6C1F" w:rsidRPr="000206BE" w:rsidRDefault="00BD6C1F" w:rsidP="00BD6C1F">
            <w:pPr>
              <w:ind w:firstLineChars="100" w:firstLine="180"/>
              <w:rPr>
                <w:sz w:val="18"/>
                <w:szCs w:val="18"/>
              </w:rPr>
            </w:pPr>
            <w:r w:rsidRPr="000206BE">
              <w:rPr>
                <w:sz w:val="18"/>
                <w:szCs w:val="18"/>
              </w:rPr>
              <w:t xml:space="preserve">Regulatory, transfer agent and filing fees     </w:t>
            </w:r>
          </w:p>
        </w:tc>
        <w:tc>
          <w:tcPr>
            <w:tcW w:w="450" w:type="dxa"/>
            <w:tcBorders>
              <w:top w:val="nil"/>
              <w:left w:val="nil"/>
              <w:bottom w:val="nil"/>
              <w:right w:val="nil"/>
            </w:tcBorders>
            <w:shd w:val="clear" w:color="000000" w:fill="FFFFFF"/>
            <w:noWrap/>
            <w:vAlign w:val="bottom"/>
          </w:tcPr>
          <w:p w14:paraId="4CB98463" w14:textId="77777777" w:rsidR="00BD6C1F" w:rsidRPr="000206BE" w:rsidRDefault="00BD6C1F" w:rsidP="00BD6C1F">
            <w:pPr>
              <w:tabs>
                <w:tab w:val="decimal" w:pos="1062"/>
              </w:tabs>
              <w:jc w:val="right"/>
              <w:rPr>
                <w:b/>
                <w:spacing w:val="-2"/>
                <w:sz w:val="18"/>
                <w:szCs w:val="18"/>
              </w:rPr>
            </w:pPr>
          </w:p>
        </w:tc>
        <w:tc>
          <w:tcPr>
            <w:tcW w:w="270" w:type="dxa"/>
            <w:tcBorders>
              <w:top w:val="nil"/>
              <w:left w:val="nil"/>
              <w:bottom w:val="nil"/>
              <w:right w:val="nil"/>
            </w:tcBorders>
            <w:shd w:val="clear" w:color="000000" w:fill="FFFFFF"/>
            <w:vAlign w:val="bottom"/>
          </w:tcPr>
          <w:p w14:paraId="0418AE4C" w14:textId="77777777" w:rsidR="00BD6C1F" w:rsidRPr="000206BE" w:rsidRDefault="00BD6C1F" w:rsidP="00BD6C1F">
            <w:pPr>
              <w:widowControl/>
              <w:jc w:val="right"/>
              <w:rPr>
                <w:spacing w:val="-2"/>
                <w:sz w:val="18"/>
                <w:szCs w:val="18"/>
              </w:rPr>
            </w:pPr>
          </w:p>
        </w:tc>
        <w:tc>
          <w:tcPr>
            <w:tcW w:w="1535" w:type="dxa"/>
            <w:tcBorders>
              <w:top w:val="nil"/>
              <w:left w:val="nil"/>
              <w:bottom w:val="nil"/>
              <w:right w:val="nil"/>
            </w:tcBorders>
            <w:shd w:val="clear" w:color="auto" w:fill="auto"/>
            <w:vAlign w:val="bottom"/>
          </w:tcPr>
          <w:p w14:paraId="41E35567" w14:textId="444963D7" w:rsidR="00BD6C1F" w:rsidRPr="000206BE" w:rsidRDefault="00314CEE" w:rsidP="00BD6C1F">
            <w:pPr>
              <w:widowControl/>
              <w:jc w:val="right"/>
              <w:rPr>
                <w:b/>
                <w:spacing w:val="-2"/>
                <w:sz w:val="18"/>
                <w:szCs w:val="18"/>
              </w:rPr>
            </w:pPr>
            <w:r>
              <w:rPr>
                <w:b/>
                <w:spacing w:val="-2"/>
                <w:sz w:val="18"/>
                <w:szCs w:val="18"/>
              </w:rPr>
              <w:t>6,715</w:t>
            </w:r>
          </w:p>
        </w:tc>
        <w:tc>
          <w:tcPr>
            <w:tcW w:w="1711" w:type="dxa"/>
            <w:tcBorders>
              <w:top w:val="nil"/>
              <w:left w:val="nil"/>
              <w:bottom w:val="nil"/>
              <w:right w:val="nil"/>
            </w:tcBorders>
            <w:shd w:val="clear" w:color="000000" w:fill="FFFFFF"/>
            <w:vAlign w:val="bottom"/>
          </w:tcPr>
          <w:p w14:paraId="4950284F" w14:textId="152FA650" w:rsidR="00BD6C1F" w:rsidRPr="00586E8D" w:rsidRDefault="00F119DC" w:rsidP="00BD6C1F">
            <w:pPr>
              <w:widowControl/>
              <w:jc w:val="right"/>
              <w:rPr>
                <w:bCs/>
                <w:spacing w:val="-2"/>
                <w:sz w:val="18"/>
                <w:szCs w:val="18"/>
              </w:rPr>
            </w:pPr>
            <w:r>
              <w:rPr>
                <w:bCs/>
                <w:spacing w:val="-2"/>
                <w:sz w:val="18"/>
                <w:szCs w:val="18"/>
              </w:rPr>
              <w:t>48,064</w:t>
            </w:r>
          </w:p>
        </w:tc>
      </w:tr>
      <w:tr w:rsidR="00BD6C1F" w:rsidRPr="000206BE" w14:paraId="72C2CA3D" w14:textId="77777777" w:rsidTr="00057DF0">
        <w:trPr>
          <w:trHeight w:val="282"/>
        </w:trPr>
        <w:tc>
          <w:tcPr>
            <w:tcW w:w="5400" w:type="dxa"/>
            <w:tcBorders>
              <w:top w:val="nil"/>
              <w:left w:val="nil"/>
              <w:right w:val="nil"/>
            </w:tcBorders>
            <w:shd w:val="clear" w:color="000000" w:fill="FFFFFF"/>
            <w:noWrap/>
            <w:vAlign w:val="bottom"/>
          </w:tcPr>
          <w:p w14:paraId="2A459B01" w14:textId="44D8613B" w:rsidR="00BD6C1F" w:rsidRPr="000206BE" w:rsidRDefault="00BD6C1F" w:rsidP="00BD6C1F">
            <w:pPr>
              <w:ind w:firstLineChars="100" w:firstLine="180"/>
              <w:rPr>
                <w:sz w:val="18"/>
                <w:szCs w:val="18"/>
              </w:rPr>
            </w:pPr>
            <w:r w:rsidRPr="007560B3">
              <w:rPr>
                <w:sz w:val="18"/>
                <w:szCs w:val="18"/>
              </w:rPr>
              <w:t>Corporate development</w:t>
            </w:r>
          </w:p>
        </w:tc>
        <w:tc>
          <w:tcPr>
            <w:tcW w:w="450" w:type="dxa"/>
            <w:tcBorders>
              <w:top w:val="nil"/>
              <w:left w:val="nil"/>
              <w:right w:val="nil"/>
            </w:tcBorders>
            <w:shd w:val="clear" w:color="000000" w:fill="FFFFFF"/>
            <w:noWrap/>
            <w:vAlign w:val="bottom"/>
          </w:tcPr>
          <w:p w14:paraId="4B5831FB" w14:textId="77777777" w:rsidR="00BD6C1F" w:rsidRPr="000206BE" w:rsidRDefault="00BD6C1F" w:rsidP="00BD6C1F">
            <w:pPr>
              <w:tabs>
                <w:tab w:val="decimal" w:pos="1062"/>
              </w:tabs>
              <w:jc w:val="right"/>
              <w:rPr>
                <w:b/>
                <w:spacing w:val="-2"/>
                <w:sz w:val="18"/>
                <w:szCs w:val="18"/>
              </w:rPr>
            </w:pPr>
          </w:p>
        </w:tc>
        <w:tc>
          <w:tcPr>
            <w:tcW w:w="270" w:type="dxa"/>
            <w:tcBorders>
              <w:top w:val="nil"/>
              <w:left w:val="nil"/>
              <w:right w:val="nil"/>
            </w:tcBorders>
            <w:shd w:val="clear" w:color="000000" w:fill="FFFFFF"/>
            <w:vAlign w:val="bottom"/>
          </w:tcPr>
          <w:p w14:paraId="11824201" w14:textId="77777777" w:rsidR="00BD6C1F" w:rsidRPr="000206BE" w:rsidRDefault="00BD6C1F" w:rsidP="00BD6C1F">
            <w:pPr>
              <w:widowControl/>
              <w:jc w:val="right"/>
              <w:rPr>
                <w:spacing w:val="-2"/>
                <w:sz w:val="18"/>
                <w:szCs w:val="18"/>
              </w:rPr>
            </w:pPr>
          </w:p>
        </w:tc>
        <w:tc>
          <w:tcPr>
            <w:tcW w:w="1535" w:type="dxa"/>
            <w:tcBorders>
              <w:top w:val="nil"/>
              <w:left w:val="nil"/>
              <w:right w:val="nil"/>
            </w:tcBorders>
            <w:shd w:val="clear" w:color="auto" w:fill="auto"/>
            <w:vAlign w:val="bottom"/>
          </w:tcPr>
          <w:p w14:paraId="4D2ACF58" w14:textId="33FFED01" w:rsidR="00BD6C1F" w:rsidRPr="000206BE" w:rsidDel="00586E8D" w:rsidRDefault="00314CEE" w:rsidP="00BD6C1F">
            <w:pPr>
              <w:widowControl/>
              <w:jc w:val="right"/>
              <w:rPr>
                <w:b/>
                <w:spacing w:val="-2"/>
                <w:sz w:val="18"/>
                <w:szCs w:val="18"/>
              </w:rPr>
            </w:pPr>
            <w:r>
              <w:rPr>
                <w:b/>
                <w:spacing w:val="-2"/>
                <w:sz w:val="18"/>
                <w:szCs w:val="18"/>
              </w:rPr>
              <w:t>48,936</w:t>
            </w:r>
          </w:p>
        </w:tc>
        <w:tc>
          <w:tcPr>
            <w:tcW w:w="1711" w:type="dxa"/>
            <w:tcBorders>
              <w:top w:val="nil"/>
              <w:left w:val="nil"/>
              <w:right w:val="nil"/>
            </w:tcBorders>
            <w:shd w:val="clear" w:color="000000" w:fill="FFFFFF"/>
            <w:vAlign w:val="bottom"/>
          </w:tcPr>
          <w:p w14:paraId="7E613889" w14:textId="5A6DF815" w:rsidR="00BD6C1F" w:rsidRPr="00586E8D" w:rsidRDefault="00BD6C1F" w:rsidP="00BD6C1F">
            <w:pPr>
              <w:widowControl/>
              <w:jc w:val="right"/>
              <w:rPr>
                <w:bCs/>
                <w:spacing w:val="-2"/>
                <w:sz w:val="18"/>
                <w:szCs w:val="18"/>
              </w:rPr>
            </w:pPr>
            <w:r>
              <w:rPr>
                <w:bCs/>
                <w:spacing w:val="-2"/>
                <w:sz w:val="18"/>
                <w:szCs w:val="18"/>
              </w:rPr>
              <w:t>-</w:t>
            </w:r>
          </w:p>
        </w:tc>
      </w:tr>
      <w:tr w:rsidR="00BD6C1F" w:rsidRPr="000206BE" w14:paraId="1C3CDCB6" w14:textId="77777777" w:rsidTr="00057DF0">
        <w:trPr>
          <w:trHeight w:val="282"/>
        </w:trPr>
        <w:tc>
          <w:tcPr>
            <w:tcW w:w="5400" w:type="dxa"/>
            <w:tcBorders>
              <w:top w:val="nil"/>
              <w:left w:val="nil"/>
              <w:right w:val="nil"/>
            </w:tcBorders>
            <w:shd w:val="clear" w:color="000000" w:fill="FFFFFF"/>
            <w:noWrap/>
            <w:vAlign w:val="bottom"/>
          </w:tcPr>
          <w:p w14:paraId="330FB38A" w14:textId="3C16DEB0" w:rsidR="00BD6C1F" w:rsidRPr="000206BE" w:rsidRDefault="00BD6C1F" w:rsidP="00BD6C1F">
            <w:pPr>
              <w:ind w:left="175" w:firstLineChars="12" w:firstLine="22"/>
              <w:rPr>
                <w:sz w:val="18"/>
                <w:szCs w:val="18"/>
              </w:rPr>
            </w:pPr>
            <w:r w:rsidRPr="000206BE">
              <w:rPr>
                <w:sz w:val="18"/>
                <w:szCs w:val="18"/>
              </w:rPr>
              <w:t xml:space="preserve">Management, consulting and director’s fees </w:t>
            </w:r>
            <w:r w:rsidRPr="000206BE">
              <w:rPr>
                <w:i/>
                <w:sz w:val="18"/>
                <w:szCs w:val="18"/>
              </w:rPr>
              <w:t>(note 1</w:t>
            </w:r>
            <w:r>
              <w:rPr>
                <w:i/>
                <w:sz w:val="18"/>
                <w:szCs w:val="18"/>
              </w:rPr>
              <w:t>0</w:t>
            </w:r>
            <w:r w:rsidRPr="000206BE">
              <w:rPr>
                <w:i/>
                <w:sz w:val="18"/>
                <w:szCs w:val="18"/>
              </w:rPr>
              <w:t>)</w:t>
            </w:r>
          </w:p>
        </w:tc>
        <w:tc>
          <w:tcPr>
            <w:tcW w:w="450" w:type="dxa"/>
            <w:tcBorders>
              <w:top w:val="nil"/>
              <w:left w:val="nil"/>
              <w:right w:val="nil"/>
            </w:tcBorders>
            <w:shd w:val="clear" w:color="000000" w:fill="FFFFFF"/>
            <w:noWrap/>
            <w:vAlign w:val="bottom"/>
          </w:tcPr>
          <w:p w14:paraId="7C67799D" w14:textId="77777777" w:rsidR="00BD6C1F" w:rsidRPr="000206BE" w:rsidRDefault="00BD6C1F" w:rsidP="00BD6C1F">
            <w:pPr>
              <w:tabs>
                <w:tab w:val="decimal" w:pos="1062"/>
              </w:tabs>
              <w:jc w:val="right"/>
              <w:rPr>
                <w:b/>
                <w:spacing w:val="-2"/>
                <w:sz w:val="18"/>
                <w:szCs w:val="18"/>
              </w:rPr>
            </w:pPr>
          </w:p>
        </w:tc>
        <w:tc>
          <w:tcPr>
            <w:tcW w:w="270" w:type="dxa"/>
            <w:tcBorders>
              <w:top w:val="nil"/>
              <w:left w:val="nil"/>
              <w:right w:val="nil"/>
            </w:tcBorders>
            <w:shd w:val="clear" w:color="000000" w:fill="FFFFFF"/>
            <w:vAlign w:val="bottom"/>
          </w:tcPr>
          <w:p w14:paraId="28B17CFD" w14:textId="77777777" w:rsidR="00BD6C1F" w:rsidRPr="000206BE" w:rsidRDefault="00BD6C1F" w:rsidP="00BD6C1F">
            <w:pPr>
              <w:widowControl/>
              <w:jc w:val="right"/>
              <w:rPr>
                <w:spacing w:val="-2"/>
                <w:sz w:val="18"/>
                <w:szCs w:val="18"/>
              </w:rPr>
            </w:pPr>
          </w:p>
        </w:tc>
        <w:tc>
          <w:tcPr>
            <w:tcW w:w="1535" w:type="dxa"/>
            <w:tcBorders>
              <w:top w:val="nil"/>
              <w:left w:val="nil"/>
              <w:right w:val="nil"/>
            </w:tcBorders>
            <w:shd w:val="clear" w:color="auto" w:fill="auto"/>
            <w:vAlign w:val="bottom"/>
          </w:tcPr>
          <w:p w14:paraId="3C14C09D" w14:textId="036226CC" w:rsidR="00BD6C1F" w:rsidRPr="000206BE" w:rsidRDefault="00314CEE" w:rsidP="00BD6C1F">
            <w:pPr>
              <w:widowControl/>
              <w:jc w:val="right"/>
              <w:rPr>
                <w:b/>
                <w:spacing w:val="-2"/>
                <w:sz w:val="18"/>
                <w:szCs w:val="18"/>
              </w:rPr>
            </w:pPr>
            <w:r>
              <w:rPr>
                <w:b/>
                <w:spacing w:val="-2"/>
                <w:sz w:val="18"/>
                <w:szCs w:val="18"/>
              </w:rPr>
              <w:t>127,294</w:t>
            </w:r>
          </w:p>
        </w:tc>
        <w:tc>
          <w:tcPr>
            <w:tcW w:w="1711" w:type="dxa"/>
            <w:tcBorders>
              <w:top w:val="nil"/>
              <w:left w:val="nil"/>
              <w:right w:val="nil"/>
            </w:tcBorders>
            <w:shd w:val="clear" w:color="000000" w:fill="FFFFFF"/>
            <w:vAlign w:val="bottom"/>
          </w:tcPr>
          <w:p w14:paraId="032E248D" w14:textId="02942BE3" w:rsidR="00BD6C1F" w:rsidRPr="00586E8D" w:rsidRDefault="00F119DC" w:rsidP="00BD6C1F">
            <w:pPr>
              <w:widowControl/>
              <w:jc w:val="right"/>
              <w:rPr>
                <w:bCs/>
                <w:spacing w:val="-2"/>
                <w:sz w:val="18"/>
                <w:szCs w:val="18"/>
              </w:rPr>
            </w:pPr>
            <w:r>
              <w:rPr>
                <w:bCs/>
                <w:spacing w:val="-2"/>
                <w:sz w:val="18"/>
                <w:szCs w:val="18"/>
              </w:rPr>
              <w:t>87,059</w:t>
            </w:r>
          </w:p>
        </w:tc>
      </w:tr>
      <w:tr w:rsidR="00BD6C1F" w:rsidRPr="000206BE" w14:paraId="3CE3811B" w14:textId="77777777" w:rsidTr="00057DF0">
        <w:trPr>
          <w:trHeight w:val="282"/>
        </w:trPr>
        <w:tc>
          <w:tcPr>
            <w:tcW w:w="5400" w:type="dxa"/>
            <w:tcBorders>
              <w:top w:val="nil"/>
              <w:left w:val="nil"/>
              <w:right w:val="nil"/>
            </w:tcBorders>
            <w:shd w:val="clear" w:color="000000" w:fill="FFFFFF"/>
            <w:noWrap/>
            <w:vAlign w:val="bottom"/>
          </w:tcPr>
          <w:p w14:paraId="6414B52B" w14:textId="77777777" w:rsidR="00BD6C1F" w:rsidRPr="000206BE" w:rsidRDefault="00BD6C1F" w:rsidP="00BD6C1F">
            <w:pPr>
              <w:ind w:left="175" w:firstLineChars="12" w:firstLine="22"/>
              <w:rPr>
                <w:sz w:val="18"/>
                <w:szCs w:val="18"/>
                <w:lang w:val="en-CA" w:eastAsia="en-CA"/>
              </w:rPr>
            </w:pPr>
            <w:r w:rsidRPr="000206BE">
              <w:rPr>
                <w:sz w:val="18"/>
                <w:szCs w:val="18"/>
                <w:lang w:val="en-CA" w:eastAsia="en-CA"/>
              </w:rPr>
              <w:t>Foreign exchange loss (gain)</w:t>
            </w:r>
          </w:p>
        </w:tc>
        <w:tc>
          <w:tcPr>
            <w:tcW w:w="450" w:type="dxa"/>
            <w:tcBorders>
              <w:top w:val="nil"/>
              <w:left w:val="nil"/>
              <w:right w:val="nil"/>
            </w:tcBorders>
            <w:shd w:val="clear" w:color="000000" w:fill="FFFFFF"/>
            <w:noWrap/>
            <w:vAlign w:val="bottom"/>
          </w:tcPr>
          <w:p w14:paraId="09773107" w14:textId="77777777" w:rsidR="00BD6C1F" w:rsidRPr="000206BE" w:rsidRDefault="00BD6C1F" w:rsidP="00BD6C1F">
            <w:pPr>
              <w:widowControl/>
              <w:tabs>
                <w:tab w:val="decimal" w:pos="1062"/>
              </w:tabs>
              <w:jc w:val="right"/>
              <w:rPr>
                <w:b/>
                <w:spacing w:val="-2"/>
                <w:sz w:val="18"/>
                <w:szCs w:val="18"/>
              </w:rPr>
            </w:pPr>
          </w:p>
        </w:tc>
        <w:tc>
          <w:tcPr>
            <w:tcW w:w="270" w:type="dxa"/>
            <w:tcBorders>
              <w:top w:val="nil"/>
              <w:left w:val="nil"/>
              <w:right w:val="nil"/>
            </w:tcBorders>
            <w:shd w:val="clear" w:color="000000" w:fill="FFFFFF"/>
            <w:vAlign w:val="bottom"/>
          </w:tcPr>
          <w:p w14:paraId="3CA09D6E" w14:textId="77777777" w:rsidR="00BD6C1F" w:rsidRPr="000206BE" w:rsidRDefault="00BD6C1F" w:rsidP="00BD6C1F">
            <w:pPr>
              <w:widowControl/>
              <w:jc w:val="right"/>
              <w:rPr>
                <w:spacing w:val="-2"/>
                <w:sz w:val="18"/>
                <w:szCs w:val="18"/>
              </w:rPr>
            </w:pPr>
          </w:p>
        </w:tc>
        <w:tc>
          <w:tcPr>
            <w:tcW w:w="1535" w:type="dxa"/>
            <w:tcBorders>
              <w:top w:val="nil"/>
              <w:left w:val="nil"/>
              <w:right w:val="nil"/>
            </w:tcBorders>
            <w:shd w:val="clear" w:color="auto" w:fill="auto"/>
            <w:vAlign w:val="bottom"/>
          </w:tcPr>
          <w:p w14:paraId="78C44E2A" w14:textId="3D289339" w:rsidR="00BD6C1F" w:rsidRPr="000206BE" w:rsidRDefault="00314CEE" w:rsidP="00BD6C1F">
            <w:pPr>
              <w:widowControl/>
              <w:jc w:val="right"/>
              <w:rPr>
                <w:b/>
                <w:spacing w:val="-2"/>
                <w:sz w:val="18"/>
                <w:szCs w:val="18"/>
              </w:rPr>
            </w:pPr>
            <w:r>
              <w:rPr>
                <w:b/>
                <w:spacing w:val="-2"/>
                <w:sz w:val="18"/>
                <w:szCs w:val="18"/>
              </w:rPr>
              <w:t>(4,775)</w:t>
            </w:r>
          </w:p>
        </w:tc>
        <w:tc>
          <w:tcPr>
            <w:tcW w:w="1711" w:type="dxa"/>
            <w:tcBorders>
              <w:top w:val="nil"/>
              <w:left w:val="nil"/>
              <w:right w:val="nil"/>
            </w:tcBorders>
            <w:shd w:val="clear" w:color="000000" w:fill="FFFFFF"/>
            <w:vAlign w:val="bottom"/>
          </w:tcPr>
          <w:p w14:paraId="1DF78CDB" w14:textId="6EBD6CC0" w:rsidR="00BD6C1F" w:rsidRPr="00586E8D" w:rsidRDefault="00F119DC" w:rsidP="00BD6C1F">
            <w:pPr>
              <w:widowControl/>
              <w:jc w:val="right"/>
              <w:rPr>
                <w:bCs/>
                <w:spacing w:val="-2"/>
                <w:sz w:val="18"/>
                <w:szCs w:val="18"/>
              </w:rPr>
            </w:pPr>
            <w:r>
              <w:rPr>
                <w:bCs/>
                <w:spacing w:val="-2"/>
                <w:sz w:val="18"/>
                <w:szCs w:val="18"/>
              </w:rPr>
              <w:t>(1,552)</w:t>
            </w:r>
          </w:p>
        </w:tc>
      </w:tr>
      <w:tr w:rsidR="00BD6C1F" w:rsidRPr="000206BE" w14:paraId="2ACFCE54" w14:textId="77777777" w:rsidTr="00057DF0">
        <w:trPr>
          <w:trHeight w:val="282"/>
        </w:trPr>
        <w:tc>
          <w:tcPr>
            <w:tcW w:w="5400" w:type="dxa"/>
            <w:tcBorders>
              <w:left w:val="nil"/>
              <w:bottom w:val="single" w:sz="4" w:space="0" w:color="auto"/>
              <w:right w:val="nil"/>
            </w:tcBorders>
            <w:shd w:val="clear" w:color="000000" w:fill="FFFFFF"/>
            <w:noWrap/>
            <w:vAlign w:val="bottom"/>
          </w:tcPr>
          <w:p w14:paraId="7EDCB096" w14:textId="2EB9B1A7" w:rsidR="00BD6C1F" w:rsidRPr="000206BE" w:rsidRDefault="00BD6C1F" w:rsidP="00BD6C1F">
            <w:pPr>
              <w:ind w:left="175" w:firstLineChars="12" w:firstLine="22"/>
              <w:rPr>
                <w:sz w:val="18"/>
                <w:szCs w:val="18"/>
                <w:lang w:val="en-CA" w:eastAsia="en-CA"/>
              </w:rPr>
            </w:pPr>
            <w:r w:rsidRPr="000206BE">
              <w:rPr>
                <w:sz w:val="18"/>
                <w:szCs w:val="18"/>
                <w:lang w:val="en-CA" w:eastAsia="en-CA"/>
              </w:rPr>
              <w:t>Interest</w:t>
            </w:r>
            <w:r w:rsidR="00314CEE">
              <w:rPr>
                <w:sz w:val="18"/>
                <w:szCs w:val="18"/>
                <w:lang w:val="en-CA" w:eastAsia="en-CA"/>
              </w:rPr>
              <w:t xml:space="preserve"> expense (</w:t>
            </w:r>
            <w:r w:rsidRPr="000206BE">
              <w:rPr>
                <w:sz w:val="18"/>
                <w:szCs w:val="18"/>
                <w:lang w:val="en-CA" w:eastAsia="en-CA"/>
              </w:rPr>
              <w:t>income</w:t>
            </w:r>
            <w:r w:rsidR="00314CEE">
              <w:rPr>
                <w:sz w:val="18"/>
                <w:szCs w:val="18"/>
                <w:lang w:val="en-CA" w:eastAsia="en-CA"/>
              </w:rPr>
              <w:t>)</w:t>
            </w:r>
          </w:p>
        </w:tc>
        <w:tc>
          <w:tcPr>
            <w:tcW w:w="450" w:type="dxa"/>
            <w:tcBorders>
              <w:left w:val="nil"/>
              <w:bottom w:val="single" w:sz="4" w:space="0" w:color="auto"/>
              <w:right w:val="nil"/>
            </w:tcBorders>
            <w:shd w:val="clear" w:color="000000" w:fill="FFFFFF"/>
            <w:noWrap/>
            <w:vAlign w:val="bottom"/>
          </w:tcPr>
          <w:p w14:paraId="736F6B24" w14:textId="77777777" w:rsidR="00BD6C1F" w:rsidRPr="000206BE" w:rsidDel="00D2117E" w:rsidRDefault="00BD6C1F" w:rsidP="00BD6C1F">
            <w:pPr>
              <w:widowControl/>
              <w:tabs>
                <w:tab w:val="decimal" w:pos="1062"/>
              </w:tabs>
              <w:jc w:val="right"/>
              <w:rPr>
                <w:b/>
                <w:spacing w:val="-2"/>
                <w:sz w:val="18"/>
                <w:szCs w:val="18"/>
              </w:rPr>
            </w:pPr>
          </w:p>
        </w:tc>
        <w:tc>
          <w:tcPr>
            <w:tcW w:w="270" w:type="dxa"/>
            <w:tcBorders>
              <w:left w:val="nil"/>
              <w:bottom w:val="single" w:sz="4" w:space="0" w:color="auto"/>
              <w:right w:val="nil"/>
            </w:tcBorders>
            <w:shd w:val="clear" w:color="000000" w:fill="FFFFFF"/>
            <w:vAlign w:val="bottom"/>
          </w:tcPr>
          <w:p w14:paraId="146E3FA3" w14:textId="77777777" w:rsidR="00BD6C1F" w:rsidRPr="000206BE" w:rsidDel="00D2117E" w:rsidRDefault="00BD6C1F" w:rsidP="00BD6C1F">
            <w:pPr>
              <w:widowControl/>
              <w:jc w:val="right"/>
              <w:rPr>
                <w:spacing w:val="-2"/>
                <w:sz w:val="18"/>
                <w:szCs w:val="18"/>
              </w:rPr>
            </w:pPr>
          </w:p>
        </w:tc>
        <w:tc>
          <w:tcPr>
            <w:tcW w:w="1535" w:type="dxa"/>
            <w:tcBorders>
              <w:left w:val="nil"/>
              <w:bottom w:val="single" w:sz="4" w:space="0" w:color="auto"/>
              <w:right w:val="nil"/>
            </w:tcBorders>
            <w:shd w:val="clear" w:color="auto" w:fill="auto"/>
            <w:vAlign w:val="bottom"/>
          </w:tcPr>
          <w:p w14:paraId="648C17EB" w14:textId="10647C37" w:rsidR="00BD6C1F" w:rsidRPr="000206BE" w:rsidRDefault="00314CEE" w:rsidP="00BD6C1F">
            <w:pPr>
              <w:widowControl/>
              <w:jc w:val="right"/>
              <w:rPr>
                <w:b/>
                <w:spacing w:val="-2"/>
                <w:sz w:val="18"/>
                <w:szCs w:val="18"/>
              </w:rPr>
            </w:pPr>
            <w:r>
              <w:rPr>
                <w:b/>
                <w:spacing w:val="-2"/>
                <w:sz w:val="18"/>
                <w:szCs w:val="18"/>
              </w:rPr>
              <w:t>664</w:t>
            </w:r>
          </w:p>
        </w:tc>
        <w:tc>
          <w:tcPr>
            <w:tcW w:w="1711" w:type="dxa"/>
            <w:tcBorders>
              <w:left w:val="nil"/>
              <w:bottom w:val="single" w:sz="4" w:space="0" w:color="auto"/>
              <w:right w:val="nil"/>
            </w:tcBorders>
            <w:shd w:val="clear" w:color="000000" w:fill="FFFFFF"/>
            <w:vAlign w:val="bottom"/>
          </w:tcPr>
          <w:p w14:paraId="6D7E8C0D" w14:textId="118B2472" w:rsidR="00BD6C1F" w:rsidRPr="00586E8D" w:rsidDel="00D2117E" w:rsidRDefault="00F119DC" w:rsidP="00BD6C1F">
            <w:pPr>
              <w:widowControl/>
              <w:jc w:val="right"/>
              <w:rPr>
                <w:bCs/>
                <w:spacing w:val="-2"/>
                <w:sz w:val="18"/>
                <w:szCs w:val="18"/>
              </w:rPr>
            </w:pPr>
            <w:r>
              <w:rPr>
                <w:bCs/>
                <w:spacing w:val="-2"/>
                <w:sz w:val="18"/>
                <w:szCs w:val="18"/>
              </w:rPr>
              <w:t>(3,</w:t>
            </w:r>
            <w:r w:rsidR="00A60C2E">
              <w:rPr>
                <w:bCs/>
                <w:spacing w:val="-2"/>
                <w:sz w:val="18"/>
                <w:szCs w:val="18"/>
              </w:rPr>
              <w:t>250)</w:t>
            </w:r>
          </w:p>
        </w:tc>
      </w:tr>
      <w:tr w:rsidR="00BD6C1F" w:rsidRPr="000206BE" w14:paraId="43C2431B" w14:textId="77777777" w:rsidTr="00057DF0">
        <w:trPr>
          <w:trHeight w:val="282"/>
        </w:trPr>
        <w:tc>
          <w:tcPr>
            <w:tcW w:w="5400" w:type="dxa"/>
            <w:tcBorders>
              <w:top w:val="single" w:sz="4" w:space="0" w:color="auto"/>
              <w:left w:val="nil"/>
              <w:right w:val="nil"/>
            </w:tcBorders>
            <w:shd w:val="clear" w:color="000000" w:fill="FFFFFF"/>
            <w:noWrap/>
            <w:vAlign w:val="bottom"/>
          </w:tcPr>
          <w:p w14:paraId="012B2CE2" w14:textId="77777777" w:rsidR="00BD6C1F" w:rsidRPr="000206BE" w:rsidRDefault="00BD6C1F" w:rsidP="00BD6C1F">
            <w:pPr>
              <w:ind w:left="175" w:firstLineChars="12" w:firstLine="22"/>
              <w:rPr>
                <w:sz w:val="18"/>
                <w:szCs w:val="18"/>
                <w:lang w:val="en-CA" w:eastAsia="en-CA"/>
              </w:rPr>
            </w:pPr>
          </w:p>
        </w:tc>
        <w:tc>
          <w:tcPr>
            <w:tcW w:w="450" w:type="dxa"/>
            <w:tcBorders>
              <w:top w:val="single" w:sz="4" w:space="0" w:color="auto"/>
              <w:left w:val="nil"/>
              <w:right w:val="nil"/>
            </w:tcBorders>
            <w:shd w:val="clear" w:color="000000" w:fill="FFFFFF"/>
            <w:noWrap/>
            <w:vAlign w:val="bottom"/>
          </w:tcPr>
          <w:p w14:paraId="70658EB3" w14:textId="77777777" w:rsidR="00BD6C1F" w:rsidRPr="000206BE" w:rsidRDefault="00BD6C1F" w:rsidP="00BD6C1F">
            <w:pPr>
              <w:widowControl/>
              <w:tabs>
                <w:tab w:val="decimal" w:pos="1062"/>
              </w:tabs>
              <w:jc w:val="right"/>
              <w:rPr>
                <w:b/>
                <w:spacing w:val="-2"/>
                <w:sz w:val="18"/>
                <w:szCs w:val="18"/>
              </w:rPr>
            </w:pPr>
          </w:p>
        </w:tc>
        <w:tc>
          <w:tcPr>
            <w:tcW w:w="270" w:type="dxa"/>
            <w:tcBorders>
              <w:top w:val="single" w:sz="4" w:space="0" w:color="auto"/>
              <w:left w:val="nil"/>
              <w:right w:val="nil"/>
            </w:tcBorders>
            <w:shd w:val="clear" w:color="000000" w:fill="FFFFFF"/>
            <w:vAlign w:val="bottom"/>
          </w:tcPr>
          <w:p w14:paraId="03205681" w14:textId="77777777" w:rsidR="00BD6C1F" w:rsidRPr="000206BE" w:rsidRDefault="00BD6C1F" w:rsidP="00BD6C1F">
            <w:pPr>
              <w:widowControl/>
              <w:jc w:val="right"/>
              <w:rPr>
                <w:spacing w:val="-2"/>
                <w:sz w:val="18"/>
                <w:szCs w:val="18"/>
              </w:rPr>
            </w:pPr>
          </w:p>
        </w:tc>
        <w:tc>
          <w:tcPr>
            <w:tcW w:w="1535" w:type="dxa"/>
            <w:tcBorders>
              <w:top w:val="single" w:sz="4" w:space="0" w:color="auto"/>
              <w:left w:val="nil"/>
              <w:right w:val="nil"/>
            </w:tcBorders>
            <w:shd w:val="clear" w:color="auto" w:fill="auto"/>
            <w:vAlign w:val="bottom"/>
          </w:tcPr>
          <w:p w14:paraId="0AA33A0E" w14:textId="6FC06F17" w:rsidR="00BD6C1F" w:rsidRPr="000206BE" w:rsidRDefault="00314CEE" w:rsidP="00BD6C1F">
            <w:pPr>
              <w:widowControl/>
              <w:jc w:val="right"/>
              <w:rPr>
                <w:b/>
                <w:spacing w:val="-2"/>
                <w:sz w:val="18"/>
                <w:szCs w:val="18"/>
              </w:rPr>
            </w:pPr>
            <w:r>
              <w:rPr>
                <w:b/>
                <w:spacing w:val="-2"/>
                <w:sz w:val="18"/>
                <w:szCs w:val="18"/>
              </w:rPr>
              <w:t>208,859</w:t>
            </w:r>
          </w:p>
        </w:tc>
        <w:tc>
          <w:tcPr>
            <w:tcW w:w="1711" w:type="dxa"/>
            <w:tcBorders>
              <w:top w:val="single" w:sz="4" w:space="0" w:color="auto"/>
              <w:left w:val="nil"/>
              <w:right w:val="nil"/>
            </w:tcBorders>
            <w:shd w:val="clear" w:color="000000" w:fill="FFFFFF"/>
            <w:vAlign w:val="bottom"/>
          </w:tcPr>
          <w:p w14:paraId="32F6DE7D" w14:textId="6A8D433A" w:rsidR="00BD6C1F" w:rsidRPr="00586E8D" w:rsidRDefault="00A60C2E" w:rsidP="00BD6C1F">
            <w:pPr>
              <w:widowControl/>
              <w:jc w:val="right"/>
              <w:rPr>
                <w:bCs/>
                <w:spacing w:val="-2"/>
                <w:sz w:val="18"/>
                <w:szCs w:val="18"/>
              </w:rPr>
            </w:pPr>
            <w:r>
              <w:rPr>
                <w:bCs/>
                <w:spacing w:val="-2"/>
                <w:sz w:val="18"/>
                <w:szCs w:val="18"/>
              </w:rPr>
              <w:t>204,575</w:t>
            </w:r>
          </w:p>
        </w:tc>
      </w:tr>
      <w:tr w:rsidR="00BD6C1F" w:rsidRPr="000206BE" w14:paraId="340B6660" w14:textId="77777777" w:rsidTr="00057DF0">
        <w:trPr>
          <w:trHeight w:val="360"/>
        </w:trPr>
        <w:tc>
          <w:tcPr>
            <w:tcW w:w="5400" w:type="dxa"/>
            <w:tcBorders>
              <w:top w:val="nil"/>
              <w:left w:val="nil"/>
              <w:right w:val="nil"/>
            </w:tcBorders>
            <w:shd w:val="clear" w:color="000000" w:fill="FFFFFF"/>
            <w:noWrap/>
            <w:vAlign w:val="bottom"/>
          </w:tcPr>
          <w:p w14:paraId="0E954E5F" w14:textId="77777777" w:rsidR="00BD6C1F" w:rsidRPr="000206BE" w:rsidRDefault="00BD6C1F" w:rsidP="00BD6C1F">
            <w:pPr>
              <w:ind w:left="175" w:firstLineChars="12" w:firstLine="22"/>
              <w:rPr>
                <w:b/>
                <w:sz w:val="18"/>
                <w:szCs w:val="18"/>
                <w:lang w:val="en-CA" w:eastAsia="en-CA"/>
              </w:rPr>
            </w:pPr>
            <w:r w:rsidRPr="000206BE">
              <w:rPr>
                <w:b/>
                <w:sz w:val="18"/>
                <w:szCs w:val="18"/>
                <w:lang w:val="en-CA" w:eastAsia="en-CA"/>
              </w:rPr>
              <w:t>OTHER ITEMS</w:t>
            </w:r>
          </w:p>
        </w:tc>
        <w:tc>
          <w:tcPr>
            <w:tcW w:w="450" w:type="dxa"/>
            <w:tcBorders>
              <w:top w:val="nil"/>
              <w:left w:val="nil"/>
              <w:right w:val="nil"/>
            </w:tcBorders>
            <w:shd w:val="clear" w:color="000000" w:fill="FFFFFF"/>
            <w:noWrap/>
            <w:vAlign w:val="bottom"/>
          </w:tcPr>
          <w:p w14:paraId="10EC4F5B" w14:textId="77777777" w:rsidR="00BD6C1F" w:rsidRPr="000206BE" w:rsidRDefault="00BD6C1F" w:rsidP="00BD6C1F">
            <w:pPr>
              <w:widowControl/>
              <w:tabs>
                <w:tab w:val="decimal" w:pos="1062"/>
              </w:tabs>
              <w:jc w:val="right"/>
              <w:rPr>
                <w:b/>
                <w:spacing w:val="-2"/>
                <w:sz w:val="18"/>
                <w:szCs w:val="18"/>
              </w:rPr>
            </w:pPr>
          </w:p>
        </w:tc>
        <w:tc>
          <w:tcPr>
            <w:tcW w:w="270" w:type="dxa"/>
            <w:tcBorders>
              <w:top w:val="nil"/>
              <w:left w:val="nil"/>
              <w:right w:val="nil"/>
            </w:tcBorders>
            <w:shd w:val="clear" w:color="000000" w:fill="FFFFFF"/>
            <w:vAlign w:val="bottom"/>
          </w:tcPr>
          <w:p w14:paraId="54AD1C6A" w14:textId="77777777" w:rsidR="00BD6C1F" w:rsidRPr="000206BE" w:rsidRDefault="00BD6C1F" w:rsidP="00BD6C1F">
            <w:pPr>
              <w:widowControl/>
              <w:jc w:val="right"/>
              <w:rPr>
                <w:spacing w:val="-2"/>
                <w:sz w:val="18"/>
                <w:szCs w:val="18"/>
              </w:rPr>
            </w:pPr>
          </w:p>
        </w:tc>
        <w:tc>
          <w:tcPr>
            <w:tcW w:w="1535" w:type="dxa"/>
            <w:tcBorders>
              <w:top w:val="nil"/>
              <w:left w:val="nil"/>
              <w:right w:val="nil"/>
            </w:tcBorders>
            <w:shd w:val="clear" w:color="auto" w:fill="auto"/>
            <w:vAlign w:val="bottom"/>
          </w:tcPr>
          <w:p w14:paraId="1027FDDB" w14:textId="77777777" w:rsidR="00BD6C1F" w:rsidRPr="000206BE" w:rsidRDefault="00BD6C1F" w:rsidP="00BD6C1F">
            <w:pPr>
              <w:widowControl/>
              <w:jc w:val="right"/>
              <w:rPr>
                <w:b/>
                <w:spacing w:val="-2"/>
                <w:sz w:val="18"/>
                <w:szCs w:val="18"/>
              </w:rPr>
            </w:pPr>
          </w:p>
        </w:tc>
        <w:tc>
          <w:tcPr>
            <w:tcW w:w="1711" w:type="dxa"/>
            <w:tcBorders>
              <w:top w:val="nil"/>
              <w:left w:val="nil"/>
              <w:right w:val="nil"/>
            </w:tcBorders>
            <w:shd w:val="clear" w:color="000000" w:fill="FFFFFF"/>
            <w:vAlign w:val="bottom"/>
          </w:tcPr>
          <w:p w14:paraId="69426AE3" w14:textId="77777777" w:rsidR="00BD6C1F" w:rsidRPr="00586E8D" w:rsidRDefault="00BD6C1F" w:rsidP="00BD6C1F">
            <w:pPr>
              <w:widowControl/>
              <w:jc w:val="right"/>
              <w:rPr>
                <w:bCs/>
                <w:spacing w:val="-2"/>
                <w:sz w:val="18"/>
                <w:szCs w:val="18"/>
              </w:rPr>
            </w:pPr>
          </w:p>
        </w:tc>
      </w:tr>
      <w:tr w:rsidR="00BD6C1F" w:rsidRPr="000206BE" w14:paraId="42F27D77" w14:textId="77777777" w:rsidTr="00057DF0">
        <w:trPr>
          <w:trHeight w:val="282"/>
        </w:trPr>
        <w:tc>
          <w:tcPr>
            <w:tcW w:w="5400" w:type="dxa"/>
            <w:tcBorders>
              <w:top w:val="nil"/>
              <w:left w:val="nil"/>
              <w:right w:val="nil"/>
            </w:tcBorders>
            <w:shd w:val="clear" w:color="000000" w:fill="FFFFFF"/>
            <w:noWrap/>
            <w:vAlign w:val="bottom"/>
          </w:tcPr>
          <w:p w14:paraId="0128ACE1" w14:textId="3C0F9745" w:rsidR="00BD6C1F" w:rsidRPr="000206BE" w:rsidRDefault="00BD6C1F" w:rsidP="00BD6C1F">
            <w:pPr>
              <w:ind w:left="175" w:firstLineChars="12" w:firstLine="22"/>
              <w:rPr>
                <w:sz w:val="18"/>
                <w:szCs w:val="18"/>
                <w:lang w:val="en-CA" w:eastAsia="en-CA"/>
              </w:rPr>
            </w:pPr>
            <w:r>
              <w:rPr>
                <w:sz w:val="18"/>
                <w:szCs w:val="18"/>
                <w:lang w:val="en-CA" w:eastAsia="en-CA"/>
              </w:rPr>
              <w:t>Flow-through liability reversal (</w:t>
            </w:r>
            <w:r w:rsidRPr="00AB088B">
              <w:rPr>
                <w:i/>
                <w:sz w:val="18"/>
                <w:szCs w:val="18"/>
                <w:lang w:val="en-CA" w:eastAsia="en-CA"/>
              </w:rPr>
              <w:t>note 1</w:t>
            </w:r>
            <w:r>
              <w:rPr>
                <w:i/>
                <w:sz w:val="18"/>
                <w:szCs w:val="18"/>
                <w:lang w:val="en-CA" w:eastAsia="en-CA"/>
              </w:rPr>
              <w:t>1</w:t>
            </w:r>
            <w:r>
              <w:rPr>
                <w:sz w:val="18"/>
                <w:szCs w:val="18"/>
                <w:lang w:val="en-CA" w:eastAsia="en-CA"/>
              </w:rPr>
              <w:t>)</w:t>
            </w:r>
          </w:p>
        </w:tc>
        <w:tc>
          <w:tcPr>
            <w:tcW w:w="450" w:type="dxa"/>
            <w:tcBorders>
              <w:top w:val="nil"/>
              <w:left w:val="nil"/>
              <w:right w:val="nil"/>
            </w:tcBorders>
            <w:shd w:val="clear" w:color="000000" w:fill="FFFFFF"/>
            <w:noWrap/>
            <w:vAlign w:val="bottom"/>
          </w:tcPr>
          <w:p w14:paraId="107CF049" w14:textId="77777777" w:rsidR="00BD6C1F" w:rsidRPr="000206BE" w:rsidRDefault="00BD6C1F" w:rsidP="00BD6C1F">
            <w:pPr>
              <w:widowControl/>
              <w:tabs>
                <w:tab w:val="decimal" w:pos="1062"/>
              </w:tabs>
              <w:jc w:val="right"/>
              <w:rPr>
                <w:b/>
                <w:spacing w:val="-2"/>
                <w:sz w:val="18"/>
                <w:szCs w:val="18"/>
              </w:rPr>
            </w:pPr>
          </w:p>
        </w:tc>
        <w:tc>
          <w:tcPr>
            <w:tcW w:w="270" w:type="dxa"/>
            <w:tcBorders>
              <w:top w:val="nil"/>
              <w:left w:val="nil"/>
              <w:right w:val="nil"/>
            </w:tcBorders>
            <w:shd w:val="clear" w:color="000000" w:fill="FFFFFF"/>
            <w:vAlign w:val="bottom"/>
          </w:tcPr>
          <w:p w14:paraId="241ACB02" w14:textId="77777777" w:rsidR="00BD6C1F" w:rsidRPr="000206BE" w:rsidRDefault="00BD6C1F" w:rsidP="00BD6C1F">
            <w:pPr>
              <w:widowControl/>
              <w:jc w:val="right"/>
              <w:rPr>
                <w:spacing w:val="-2"/>
                <w:sz w:val="18"/>
                <w:szCs w:val="18"/>
              </w:rPr>
            </w:pPr>
          </w:p>
        </w:tc>
        <w:tc>
          <w:tcPr>
            <w:tcW w:w="1535" w:type="dxa"/>
            <w:tcBorders>
              <w:top w:val="nil"/>
              <w:left w:val="nil"/>
              <w:right w:val="nil"/>
            </w:tcBorders>
            <w:shd w:val="clear" w:color="auto" w:fill="auto"/>
            <w:vAlign w:val="bottom"/>
          </w:tcPr>
          <w:p w14:paraId="32EACA55" w14:textId="5B231F3E" w:rsidR="00BD6C1F" w:rsidRPr="000206BE" w:rsidRDefault="00314CEE" w:rsidP="00BD6C1F">
            <w:pPr>
              <w:widowControl/>
              <w:jc w:val="right"/>
              <w:rPr>
                <w:b/>
                <w:spacing w:val="-2"/>
                <w:sz w:val="18"/>
                <w:szCs w:val="18"/>
              </w:rPr>
            </w:pPr>
            <w:r>
              <w:rPr>
                <w:b/>
                <w:spacing w:val="-2"/>
                <w:sz w:val="18"/>
                <w:szCs w:val="18"/>
              </w:rPr>
              <w:t>(31,201)</w:t>
            </w:r>
          </w:p>
        </w:tc>
        <w:tc>
          <w:tcPr>
            <w:tcW w:w="1711" w:type="dxa"/>
            <w:tcBorders>
              <w:top w:val="nil"/>
              <w:left w:val="nil"/>
              <w:right w:val="nil"/>
            </w:tcBorders>
            <w:shd w:val="clear" w:color="000000" w:fill="FFFFFF"/>
            <w:vAlign w:val="bottom"/>
          </w:tcPr>
          <w:p w14:paraId="7460DC5B" w14:textId="778495DE" w:rsidR="00BD6C1F" w:rsidRPr="00586E8D" w:rsidRDefault="00A60C2E" w:rsidP="00BD6C1F">
            <w:pPr>
              <w:widowControl/>
              <w:jc w:val="right"/>
              <w:rPr>
                <w:bCs/>
                <w:spacing w:val="-2"/>
                <w:sz w:val="18"/>
                <w:szCs w:val="18"/>
              </w:rPr>
            </w:pPr>
            <w:r>
              <w:rPr>
                <w:bCs/>
                <w:spacing w:val="-2"/>
                <w:sz w:val="18"/>
                <w:szCs w:val="18"/>
              </w:rPr>
              <w:t>(439,118)</w:t>
            </w:r>
          </w:p>
        </w:tc>
      </w:tr>
      <w:tr w:rsidR="00654952" w:rsidRPr="000206BE" w14:paraId="3298ECB5" w14:textId="77777777" w:rsidTr="00057DF0">
        <w:trPr>
          <w:trHeight w:val="282"/>
        </w:trPr>
        <w:tc>
          <w:tcPr>
            <w:tcW w:w="5400" w:type="dxa"/>
            <w:tcBorders>
              <w:top w:val="nil"/>
              <w:left w:val="nil"/>
              <w:right w:val="nil"/>
            </w:tcBorders>
            <w:shd w:val="clear" w:color="000000" w:fill="FFFFFF"/>
            <w:noWrap/>
            <w:vAlign w:val="bottom"/>
          </w:tcPr>
          <w:p w14:paraId="442DA7A2" w14:textId="11D29EF4" w:rsidR="00654952" w:rsidRDefault="008A0A0E" w:rsidP="00BD6C1F">
            <w:pPr>
              <w:ind w:left="175" w:firstLineChars="12" w:firstLine="22"/>
              <w:rPr>
                <w:sz w:val="18"/>
                <w:szCs w:val="18"/>
                <w:lang w:val="en-CA" w:eastAsia="en-CA"/>
              </w:rPr>
            </w:pPr>
            <w:r>
              <w:rPr>
                <w:sz w:val="18"/>
                <w:szCs w:val="18"/>
                <w:lang w:val="en-CA" w:eastAsia="en-CA"/>
              </w:rPr>
              <w:t>Realized gain on sale of marketable securities</w:t>
            </w:r>
            <w:r w:rsidR="00976CC6">
              <w:rPr>
                <w:sz w:val="18"/>
                <w:szCs w:val="18"/>
                <w:lang w:val="en-CA" w:eastAsia="en-CA"/>
              </w:rPr>
              <w:t xml:space="preserve"> </w:t>
            </w:r>
            <w:r w:rsidR="00976CC6" w:rsidRPr="00976CC6">
              <w:rPr>
                <w:i/>
                <w:iCs/>
                <w:sz w:val="18"/>
                <w:szCs w:val="18"/>
                <w:lang w:val="en-CA" w:eastAsia="en-CA"/>
              </w:rPr>
              <w:t>(note 13)</w:t>
            </w:r>
          </w:p>
        </w:tc>
        <w:tc>
          <w:tcPr>
            <w:tcW w:w="450" w:type="dxa"/>
            <w:tcBorders>
              <w:top w:val="nil"/>
              <w:left w:val="nil"/>
              <w:right w:val="nil"/>
            </w:tcBorders>
            <w:shd w:val="clear" w:color="000000" w:fill="FFFFFF"/>
            <w:noWrap/>
            <w:vAlign w:val="bottom"/>
          </w:tcPr>
          <w:p w14:paraId="2684B849" w14:textId="77777777" w:rsidR="00654952" w:rsidRPr="000206BE" w:rsidRDefault="00654952" w:rsidP="00BD6C1F">
            <w:pPr>
              <w:widowControl/>
              <w:tabs>
                <w:tab w:val="decimal" w:pos="1062"/>
              </w:tabs>
              <w:jc w:val="right"/>
              <w:rPr>
                <w:b/>
                <w:spacing w:val="-2"/>
                <w:sz w:val="18"/>
                <w:szCs w:val="18"/>
              </w:rPr>
            </w:pPr>
          </w:p>
        </w:tc>
        <w:tc>
          <w:tcPr>
            <w:tcW w:w="270" w:type="dxa"/>
            <w:tcBorders>
              <w:top w:val="nil"/>
              <w:left w:val="nil"/>
              <w:right w:val="nil"/>
            </w:tcBorders>
            <w:shd w:val="clear" w:color="000000" w:fill="FFFFFF"/>
            <w:vAlign w:val="bottom"/>
          </w:tcPr>
          <w:p w14:paraId="4C9E9878" w14:textId="77777777" w:rsidR="00654952" w:rsidRPr="000206BE" w:rsidRDefault="00654952" w:rsidP="00BD6C1F">
            <w:pPr>
              <w:widowControl/>
              <w:jc w:val="right"/>
              <w:rPr>
                <w:spacing w:val="-2"/>
                <w:sz w:val="18"/>
                <w:szCs w:val="18"/>
              </w:rPr>
            </w:pPr>
          </w:p>
        </w:tc>
        <w:tc>
          <w:tcPr>
            <w:tcW w:w="1535" w:type="dxa"/>
            <w:tcBorders>
              <w:top w:val="nil"/>
              <w:left w:val="nil"/>
              <w:right w:val="nil"/>
            </w:tcBorders>
            <w:shd w:val="clear" w:color="auto" w:fill="auto"/>
            <w:vAlign w:val="bottom"/>
          </w:tcPr>
          <w:p w14:paraId="7B4C0629" w14:textId="3F2B47B1" w:rsidR="00654952" w:rsidRDefault="00654952" w:rsidP="00BD6C1F">
            <w:pPr>
              <w:widowControl/>
              <w:jc w:val="right"/>
              <w:rPr>
                <w:b/>
                <w:spacing w:val="-2"/>
                <w:sz w:val="18"/>
                <w:szCs w:val="18"/>
              </w:rPr>
            </w:pPr>
            <w:r>
              <w:rPr>
                <w:b/>
                <w:spacing w:val="-2"/>
                <w:sz w:val="18"/>
                <w:szCs w:val="18"/>
              </w:rPr>
              <w:t>(49,478)</w:t>
            </w:r>
          </w:p>
        </w:tc>
        <w:tc>
          <w:tcPr>
            <w:tcW w:w="1711" w:type="dxa"/>
            <w:tcBorders>
              <w:top w:val="nil"/>
              <w:left w:val="nil"/>
              <w:right w:val="nil"/>
            </w:tcBorders>
            <w:shd w:val="clear" w:color="000000" w:fill="FFFFFF"/>
            <w:vAlign w:val="bottom"/>
          </w:tcPr>
          <w:p w14:paraId="2E95598B" w14:textId="4A0B0519" w:rsidR="00654952" w:rsidRDefault="0006251C" w:rsidP="00BD6C1F">
            <w:pPr>
              <w:widowControl/>
              <w:jc w:val="right"/>
              <w:rPr>
                <w:bCs/>
                <w:spacing w:val="-2"/>
                <w:sz w:val="18"/>
                <w:szCs w:val="18"/>
              </w:rPr>
            </w:pPr>
            <w:r>
              <w:rPr>
                <w:bCs/>
                <w:spacing w:val="-2"/>
                <w:sz w:val="18"/>
                <w:szCs w:val="18"/>
              </w:rPr>
              <w:t>-</w:t>
            </w:r>
          </w:p>
        </w:tc>
      </w:tr>
      <w:tr w:rsidR="00BD6C1F" w:rsidRPr="000206BE" w14:paraId="6E8C0DF7" w14:textId="77777777" w:rsidTr="00057DF0">
        <w:trPr>
          <w:trHeight w:val="282"/>
        </w:trPr>
        <w:tc>
          <w:tcPr>
            <w:tcW w:w="5400" w:type="dxa"/>
            <w:tcBorders>
              <w:top w:val="nil"/>
              <w:left w:val="nil"/>
              <w:right w:val="nil"/>
            </w:tcBorders>
            <w:shd w:val="clear" w:color="000000" w:fill="FFFFFF"/>
            <w:noWrap/>
            <w:vAlign w:val="bottom"/>
          </w:tcPr>
          <w:p w14:paraId="21A673A0" w14:textId="6E287AD1" w:rsidR="00BD6C1F" w:rsidRPr="00A62554" w:rsidRDefault="00BD6C1F" w:rsidP="00BD6C1F">
            <w:pPr>
              <w:ind w:left="175" w:firstLineChars="12" w:firstLine="22"/>
              <w:rPr>
                <w:i/>
                <w:sz w:val="18"/>
                <w:szCs w:val="18"/>
                <w:lang w:val="en-CA" w:eastAsia="en-CA"/>
              </w:rPr>
            </w:pPr>
            <w:r w:rsidRPr="007560B3">
              <w:rPr>
                <w:sz w:val="18"/>
                <w:szCs w:val="18"/>
                <w:lang w:val="en-CA" w:eastAsia="en-CA"/>
              </w:rPr>
              <w:t xml:space="preserve">Unrealized </w:t>
            </w:r>
            <w:r w:rsidR="008A0A0E">
              <w:rPr>
                <w:sz w:val="18"/>
                <w:szCs w:val="18"/>
                <w:lang w:val="en-CA" w:eastAsia="en-CA"/>
              </w:rPr>
              <w:t>gain on marketable securities</w:t>
            </w:r>
            <w:r w:rsidR="00976CC6">
              <w:rPr>
                <w:sz w:val="18"/>
                <w:szCs w:val="18"/>
                <w:lang w:val="en-CA" w:eastAsia="en-CA"/>
              </w:rPr>
              <w:t xml:space="preserve"> </w:t>
            </w:r>
            <w:r w:rsidR="00976CC6" w:rsidRPr="00976CC6">
              <w:rPr>
                <w:i/>
                <w:iCs/>
                <w:sz w:val="18"/>
                <w:szCs w:val="18"/>
                <w:lang w:val="en-CA" w:eastAsia="en-CA"/>
              </w:rPr>
              <w:t>(note 13)</w:t>
            </w:r>
          </w:p>
        </w:tc>
        <w:tc>
          <w:tcPr>
            <w:tcW w:w="450" w:type="dxa"/>
            <w:tcBorders>
              <w:top w:val="nil"/>
              <w:left w:val="nil"/>
              <w:right w:val="nil"/>
            </w:tcBorders>
            <w:shd w:val="clear" w:color="000000" w:fill="FFFFFF"/>
            <w:noWrap/>
            <w:vAlign w:val="bottom"/>
          </w:tcPr>
          <w:p w14:paraId="09AE8B75" w14:textId="77777777" w:rsidR="00BD6C1F" w:rsidRPr="000206BE" w:rsidRDefault="00BD6C1F" w:rsidP="00BD6C1F">
            <w:pPr>
              <w:widowControl/>
              <w:tabs>
                <w:tab w:val="decimal" w:pos="1062"/>
              </w:tabs>
              <w:jc w:val="right"/>
              <w:rPr>
                <w:b/>
                <w:spacing w:val="-2"/>
                <w:sz w:val="18"/>
                <w:szCs w:val="18"/>
              </w:rPr>
            </w:pPr>
          </w:p>
        </w:tc>
        <w:tc>
          <w:tcPr>
            <w:tcW w:w="270" w:type="dxa"/>
            <w:tcBorders>
              <w:top w:val="nil"/>
              <w:left w:val="nil"/>
              <w:right w:val="nil"/>
            </w:tcBorders>
            <w:shd w:val="clear" w:color="000000" w:fill="FFFFFF"/>
            <w:vAlign w:val="bottom"/>
          </w:tcPr>
          <w:p w14:paraId="0828C22D" w14:textId="77777777" w:rsidR="00BD6C1F" w:rsidRPr="000206BE" w:rsidRDefault="00BD6C1F" w:rsidP="00BD6C1F">
            <w:pPr>
              <w:widowControl/>
              <w:jc w:val="right"/>
              <w:rPr>
                <w:spacing w:val="-2"/>
                <w:sz w:val="18"/>
                <w:szCs w:val="18"/>
              </w:rPr>
            </w:pPr>
          </w:p>
        </w:tc>
        <w:tc>
          <w:tcPr>
            <w:tcW w:w="1535" w:type="dxa"/>
            <w:tcBorders>
              <w:top w:val="nil"/>
              <w:left w:val="nil"/>
              <w:right w:val="nil"/>
            </w:tcBorders>
            <w:shd w:val="clear" w:color="auto" w:fill="auto"/>
            <w:vAlign w:val="bottom"/>
          </w:tcPr>
          <w:p w14:paraId="1EADF471" w14:textId="21FCA900" w:rsidR="00BD6C1F" w:rsidRPr="007560B3" w:rsidRDefault="00314CEE" w:rsidP="00BD6C1F">
            <w:pPr>
              <w:widowControl/>
              <w:jc w:val="right"/>
              <w:rPr>
                <w:b/>
                <w:spacing w:val="-2"/>
                <w:sz w:val="18"/>
                <w:szCs w:val="18"/>
              </w:rPr>
            </w:pPr>
            <w:r>
              <w:rPr>
                <w:b/>
                <w:spacing w:val="-2"/>
                <w:sz w:val="18"/>
                <w:szCs w:val="18"/>
              </w:rPr>
              <w:t>(</w:t>
            </w:r>
            <w:r w:rsidR="00DB083D">
              <w:rPr>
                <w:b/>
                <w:spacing w:val="-2"/>
                <w:sz w:val="18"/>
                <w:szCs w:val="18"/>
              </w:rPr>
              <w:t>48,690</w:t>
            </w:r>
            <w:r>
              <w:rPr>
                <w:b/>
                <w:spacing w:val="-2"/>
                <w:sz w:val="18"/>
                <w:szCs w:val="18"/>
              </w:rPr>
              <w:t>)</w:t>
            </w:r>
          </w:p>
        </w:tc>
        <w:tc>
          <w:tcPr>
            <w:tcW w:w="1711" w:type="dxa"/>
            <w:tcBorders>
              <w:top w:val="nil"/>
              <w:left w:val="nil"/>
              <w:right w:val="nil"/>
            </w:tcBorders>
            <w:shd w:val="clear" w:color="000000" w:fill="FFFFFF"/>
            <w:vAlign w:val="bottom"/>
          </w:tcPr>
          <w:p w14:paraId="12876074" w14:textId="2CF5EB5F" w:rsidR="00BD6C1F" w:rsidRPr="00586E8D" w:rsidRDefault="00BD6C1F" w:rsidP="00BD6C1F">
            <w:pPr>
              <w:widowControl/>
              <w:jc w:val="right"/>
              <w:rPr>
                <w:bCs/>
                <w:spacing w:val="-2"/>
                <w:sz w:val="18"/>
                <w:szCs w:val="18"/>
              </w:rPr>
            </w:pPr>
            <w:r>
              <w:rPr>
                <w:bCs/>
                <w:spacing w:val="-2"/>
                <w:sz w:val="18"/>
                <w:szCs w:val="18"/>
              </w:rPr>
              <w:t>-</w:t>
            </w:r>
          </w:p>
        </w:tc>
      </w:tr>
      <w:tr w:rsidR="00BD6C1F" w:rsidRPr="0082110A" w14:paraId="16C3F2F7" w14:textId="77777777" w:rsidTr="00057DF0">
        <w:trPr>
          <w:trHeight w:val="360"/>
        </w:trPr>
        <w:tc>
          <w:tcPr>
            <w:tcW w:w="5400" w:type="dxa"/>
            <w:tcBorders>
              <w:top w:val="single" w:sz="4" w:space="0" w:color="auto"/>
              <w:left w:val="nil"/>
              <w:bottom w:val="double" w:sz="4" w:space="0" w:color="auto"/>
              <w:right w:val="nil"/>
            </w:tcBorders>
            <w:shd w:val="clear" w:color="000000" w:fill="FFFFFF"/>
            <w:noWrap/>
            <w:vAlign w:val="bottom"/>
          </w:tcPr>
          <w:p w14:paraId="6BC41DC3" w14:textId="00C13737" w:rsidR="00BD6C1F" w:rsidRPr="0082110A" w:rsidRDefault="00BD6C1F" w:rsidP="00BD6C1F">
            <w:pPr>
              <w:widowControl/>
              <w:rPr>
                <w:b/>
                <w:sz w:val="18"/>
                <w:szCs w:val="18"/>
                <w:lang w:val="en-CA" w:eastAsia="en-CA"/>
              </w:rPr>
            </w:pPr>
            <w:r w:rsidRPr="0082110A">
              <w:rPr>
                <w:b/>
                <w:sz w:val="18"/>
                <w:szCs w:val="18"/>
                <w:lang w:val="en-CA" w:eastAsia="en-CA"/>
              </w:rPr>
              <w:t xml:space="preserve">Net </w:t>
            </w:r>
            <w:r w:rsidR="00552D9B">
              <w:rPr>
                <w:b/>
                <w:sz w:val="18"/>
                <w:szCs w:val="18"/>
                <w:lang w:val="en-CA" w:eastAsia="en-CA"/>
              </w:rPr>
              <w:t>income (</w:t>
            </w:r>
            <w:r w:rsidRPr="0082110A">
              <w:rPr>
                <w:b/>
                <w:sz w:val="18"/>
                <w:szCs w:val="18"/>
                <w:lang w:val="en-CA" w:eastAsia="en-CA"/>
              </w:rPr>
              <w:t>loss</w:t>
            </w:r>
            <w:r w:rsidR="00552D9B">
              <w:rPr>
                <w:b/>
                <w:sz w:val="18"/>
                <w:szCs w:val="18"/>
                <w:lang w:val="en-CA" w:eastAsia="en-CA"/>
              </w:rPr>
              <w:t>)</w:t>
            </w:r>
            <w:r w:rsidRPr="0082110A">
              <w:rPr>
                <w:b/>
                <w:sz w:val="18"/>
                <w:szCs w:val="18"/>
                <w:lang w:val="en-CA" w:eastAsia="en-CA"/>
              </w:rPr>
              <w:t xml:space="preserve"> and comprehensive </w:t>
            </w:r>
            <w:r w:rsidR="00552D9B">
              <w:rPr>
                <w:b/>
                <w:sz w:val="18"/>
                <w:szCs w:val="18"/>
                <w:lang w:val="en-CA" w:eastAsia="en-CA"/>
              </w:rPr>
              <w:t>income (</w:t>
            </w:r>
            <w:r w:rsidRPr="0082110A">
              <w:rPr>
                <w:b/>
                <w:sz w:val="18"/>
                <w:szCs w:val="18"/>
                <w:lang w:val="en-CA" w:eastAsia="en-CA"/>
              </w:rPr>
              <w:t>loss</w:t>
            </w:r>
            <w:r w:rsidR="00552D9B">
              <w:rPr>
                <w:b/>
                <w:sz w:val="18"/>
                <w:szCs w:val="18"/>
                <w:lang w:val="en-CA" w:eastAsia="en-CA"/>
              </w:rPr>
              <w:t>)</w:t>
            </w:r>
            <w:r w:rsidRPr="0082110A">
              <w:rPr>
                <w:b/>
                <w:sz w:val="18"/>
                <w:szCs w:val="18"/>
                <w:lang w:val="en-CA" w:eastAsia="en-CA"/>
              </w:rPr>
              <w:t xml:space="preserve"> for the </w:t>
            </w:r>
            <w:r w:rsidR="00314CEE">
              <w:rPr>
                <w:b/>
                <w:sz w:val="18"/>
                <w:szCs w:val="18"/>
                <w:lang w:val="en-CA" w:eastAsia="en-CA"/>
              </w:rPr>
              <w:t>period</w:t>
            </w:r>
          </w:p>
        </w:tc>
        <w:tc>
          <w:tcPr>
            <w:tcW w:w="450" w:type="dxa"/>
            <w:tcBorders>
              <w:top w:val="single" w:sz="4" w:space="0" w:color="auto"/>
              <w:left w:val="nil"/>
              <w:bottom w:val="double" w:sz="4" w:space="0" w:color="auto"/>
              <w:right w:val="nil"/>
            </w:tcBorders>
            <w:shd w:val="clear" w:color="000000" w:fill="FFFFFF"/>
            <w:noWrap/>
            <w:vAlign w:val="bottom"/>
          </w:tcPr>
          <w:p w14:paraId="5DB6B261" w14:textId="77777777" w:rsidR="00BD6C1F" w:rsidRPr="0082110A" w:rsidRDefault="00BD6C1F" w:rsidP="00BD6C1F">
            <w:pPr>
              <w:widowControl/>
              <w:tabs>
                <w:tab w:val="decimal" w:pos="1062"/>
              </w:tabs>
              <w:ind w:right="-30"/>
              <w:jc w:val="right"/>
              <w:rPr>
                <w:b/>
                <w:spacing w:val="-2"/>
                <w:sz w:val="18"/>
                <w:szCs w:val="18"/>
              </w:rPr>
            </w:pPr>
          </w:p>
        </w:tc>
        <w:tc>
          <w:tcPr>
            <w:tcW w:w="270" w:type="dxa"/>
            <w:tcBorders>
              <w:top w:val="single" w:sz="4" w:space="0" w:color="auto"/>
              <w:left w:val="nil"/>
              <w:bottom w:val="double" w:sz="4" w:space="0" w:color="auto"/>
              <w:right w:val="nil"/>
            </w:tcBorders>
            <w:shd w:val="clear" w:color="000000" w:fill="FFFFFF"/>
            <w:vAlign w:val="bottom"/>
          </w:tcPr>
          <w:p w14:paraId="44E62CD9" w14:textId="77777777" w:rsidR="00BD6C1F" w:rsidRPr="0082110A" w:rsidRDefault="00BD6C1F" w:rsidP="00BD6C1F">
            <w:pPr>
              <w:widowControl/>
              <w:jc w:val="right"/>
              <w:rPr>
                <w:spacing w:val="-2"/>
                <w:sz w:val="18"/>
                <w:szCs w:val="18"/>
              </w:rPr>
            </w:pPr>
          </w:p>
        </w:tc>
        <w:tc>
          <w:tcPr>
            <w:tcW w:w="1535" w:type="dxa"/>
            <w:tcBorders>
              <w:top w:val="single" w:sz="4" w:space="0" w:color="auto"/>
              <w:left w:val="nil"/>
              <w:bottom w:val="double" w:sz="4" w:space="0" w:color="auto"/>
              <w:right w:val="nil"/>
            </w:tcBorders>
            <w:shd w:val="clear" w:color="auto" w:fill="auto"/>
            <w:vAlign w:val="bottom"/>
          </w:tcPr>
          <w:p w14:paraId="4D53531A" w14:textId="74EC2F40" w:rsidR="00BD6C1F" w:rsidRPr="0082110A" w:rsidRDefault="00314CEE" w:rsidP="00BD6C1F">
            <w:pPr>
              <w:widowControl/>
              <w:jc w:val="right"/>
              <w:rPr>
                <w:b/>
                <w:spacing w:val="-2"/>
                <w:sz w:val="18"/>
                <w:szCs w:val="18"/>
              </w:rPr>
            </w:pPr>
            <w:r>
              <w:rPr>
                <w:b/>
                <w:spacing w:val="-2"/>
                <w:sz w:val="18"/>
                <w:szCs w:val="18"/>
              </w:rPr>
              <w:t>(</w:t>
            </w:r>
            <w:r w:rsidR="00654952">
              <w:rPr>
                <w:b/>
                <w:spacing w:val="-2"/>
                <w:sz w:val="18"/>
                <w:szCs w:val="18"/>
              </w:rPr>
              <w:t>79,490</w:t>
            </w:r>
            <w:r>
              <w:rPr>
                <w:b/>
                <w:spacing w:val="-2"/>
                <w:sz w:val="18"/>
                <w:szCs w:val="18"/>
              </w:rPr>
              <w:t>)</w:t>
            </w:r>
          </w:p>
        </w:tc>
        <w:tc>
          <w:tcPr>
            <w:tcW w:w="1711" w:type="dxa"/>
            <w:tcBorders>
              <w:top w:val="single" w:sz="4" w:space="0" w:color="auto"/>
              <w:left w:val="nil"/>
              <w:bottom w:val="double" w:sz="4" w:space="0" w:color="auto"/>
              <w:right w:val="nil"/>
            </w:tcBorders>
            <w:shd w:val="clear" w:color="000000" w:fill="FFFFFF"/>
            <w:vAlign w:val="bottom"/>
          </w:tcPr>
          <w:p w14:paraId="10A7F739" w14:textId="6716C7B2" w:rsidR="00BD6C1F" w:rsidRPr="00586E8D" w:rsidRDefault="00A60C2E" w:rsidP="00BD6C1F">
            <w:pPr>
              <w:widowControl/>
              <w:jc w:val="right"/>
              <w:rPr>
                <w:bCs/>
                <w:spacing w:val="-2"/>
                <w:sz w:val="18"/>
                <w:szCs w:val="18"/>
              </w:rPr>
            </w:pPr>
            <w:r>
              <w:rPr>
                <w:bCs/>
                <w:spacing w:val="-2"/>
                <w:sz w:val="18"/>
                <w:szCs w:val="18"/>
              </w:rPr>
              <w:t>234,54</w:t>
            </w:r>
            <w:r w:rsidR="000441C0">
              <w:rPr>
                <w:bCs/>
                <w:spacing w:val="-2"/>
                <w:sz w:val="18"/>
                <w:szCs w:val="18"/>
              </w:rPr>
              <w:t>3</w:t>
            </w:r>
          </w:p>
        </w:tc>
      </w:tr>
      <w:tr w:rsidR="00BD6C1F" w:rsidRPr="0082110A" w14:paraId="15FC4B51" w14:textId="77777777" w:rsidTr="00057DF0">
        <w:trPr>
          <w:trHeight w:val="351"/>
        </w:trPr>
        <w:tc>
          <w:tcPr>
            <w:tcW w:w="5400" w:type="dxa"/>
            <w:tcBorders>
              <w:top w:val="double" w:sz="4" w:space="0" w:color="auto"/>
              <w:left w:val="nil"/>
              <w:bottom w:val="double" w:sz="4" w:space="0" w:color="auto"/>
              <w:right w:val="nil"/>
            </w:tcBorders>
            <w:shd w:val="clear" w:color="000000" w:fill="FFFFFF"/>
            <w:noWrap/>
            <w:vAlign w:val="bottom"/>
          </w:tcPr>
          <w:p w14:paraId="764CBC7A" w14:textId="77777777" w:rsidR="00BD6C1F" w:rsidRPr="0082110A" w:rsidRDefault="00BD6C1F" w:rsidP="00BD6C1F">
            <w:pPr>
              <w:widowControl/>
              <w:rPr>
                <w:sz w:val="18"/>
                <w:szCs w:val="18"/>
                <w:lang w:val="en-CA" w:eastAsia="en-CA"/>
              </w:rPr>
            </w:pPr>
            <w:r w:rsidRPr="0082110A">
              <w:rPr>
                <w:sz w:val="18"/>
                <w:szCs w:val="18"/>
                <w:lang w:val="en-CA" w:eastAsia="en-CA"/>
              </w:rPr>
              <w:t>Basic and diluted loss per share</w:t>
            </w:r>
          </w:p>
        </w:tc>
        <w:tc>
          <w:tcPr>
            <w:tcW w:w="450" w:type="dxa"/>
            <w:tcBorders>
              <w:top w:val="double" w:sz="4" w:space="0" w:color="auto"/>
              <w:left w:val="nil"/>
              <w:bottom w:val="double" w:sz="4" w:space="0" w:color="auto"/>
              <w:right w:val="nil"/>
            </w:tcBorders>
            <w:shd w:val="clear" w:color="000000" w:fill="FFFFFF"/>
            <w:noWrap/>
            <w:vAlign w:val="bottom"/>
          </w:tcPr>
          <w:p w14:paraId="78E790D9" w14:textId="77777777" w:rsidR="00BD6C1F" w:rsidRPr="0082110A" w:rsidRDefault="00BD6C1F" w:rsidP="00BD6C1F">
            <w:pPr>
              <w:widowControl/>
              <w:jc w:val="right"/>
              <w:rPr>
                <w:b/>
                <w:spacing w:val="-2"/>
                <w:sz w:val="18"/>
                <w:szCs w:val="18"/>
              </w:rPr>
            </w:pPr>
          </w:p>
        </w:tc>
        <w:tc>
          <w:tcPr>
            <w:tcW w:w="270" w:type="dxa"/>
            <w:tcBorders>
              <w:top w:val="double" w:sz="4" w:space="0" w:color="auto"/>
              <w:left w:val="nil"/>
              <w:bottom w:val="double" w:sz="4" w:space="0" w:color="auto"/>
              <w:right w:val="nil"/>
            </w:tcBorders>
            <w:shd w:val="clear" w:color="000000" w:fill="FFFFFF"/>
            <w:vAlign w:val="bottom"/>
          </w:tcPr>
          <w:p w14:paraId="66ACD0D6" w14:textId="77777777" w:rsidR="00BD6C1F" w:rsidRPr="0082110A" w:rsidRDefault="00BD6C1F" w:rsidP="00BD6C1F">
            <w:pPr>
              <w:widowControl/>
              <w:jc w:val="right"/>
              <w:rPr>
                <w:spacing w:val="-2"/>
                <w:sz w:val="18"/>
                <w:szCs w:val="18"/>
              </w:rPr>
            </w:pPr>
          </w:p>
        </w:tc>
        <w:tc>
          <w:tcPr>
            <w:tcW w:w="1535" w:type="dxa"/>
            <w:tcBorders>
              <w:top w:val="double" w:sz="4" w:space="0" w:color="auto"/>
              <w:left w:val="nil"/>
              <w:bottom w:val="double" w:sz="4" w:space="0" w:color="auto"/>
              <w:right w:val="nil"/>
            </w:tcBorders>
            <w:shd w:val="clear" w:color="auto" w:fill="auto"/>
            <w:vAlign w:val="bottom"/>
          </w:tcPr>
          <w:p w14:paraId="0ED49343" w14:textId="20964213" w:rsidR="00BD6C1F" w:rsidRPr="0082110A" w:rsidRDefault="00BD6C1F" w:rsidP="00BD6C1F">
            <w:pPr>
              <w:widowControl/>
              <w:jc w:val="right"/>
              <w:rPr>
                <w:b/>
                <w:spacing w:val="-2"/>
                <w:sz w:val="18"/>
                <w:szCs w:val="18"/>
              </w:rPr>
            </w:pPr>
            <w:r w:rsidRPr="007560B3">
              <w:rPr>
                <w:b/>
                <w:spacing w:val="-2"/>
                <w:sz w:val="18"/>
                <w:szCs w:val="18"/>
              </w:rPr>
              <w:t>(0.0</w:t>
            </w:r>
            <w:r w:rsidR="00314CEE">
              <w:rPr>
                <w:b/>
                <w:spacing w:val="-2"/>
                <w:sz w:val="18"/>
                <w:szCs w:val="18"/>
              </w:rPr>
              <w:t>0</w:t>
            </w:r>
            <w:r w:rsidRPr="007560B3">
              <w:rPr>
                <w:b/>
                <w:spacing w:val="-2"/>
                <w:sz w:val="18"/>
                <w:szCs w:val="18"/>
              </w:rPr>
              <w:t>)</w:t>
            </w:r>
            <w:r w:rsidRPr="007560B3" w:rsidDel="00586E8D">
              <w:rPr>
                <w:b/>
                <w:spacing w:val="-2"/>
                <w:sz w:val="18"/>
                <w:szCs w:val="18"/>
              </w:rPr>
              <w:t xml:space="preserve"> </w:t>
            </w:r>
          </w:p>
        </w:tc>
        <w:tc>
          <w:tcPr>
            <w:tcW w:w="1711" w:type="dxa"/>
            <w:tcBorders>
              <w:top w:val="double" w:sz="4" w:space="0" w:color="auto"/>
              <w:left w:val="nil"/>
              <w:bottom w:val="double" w:sz="4" w:space="0" w:color="auto"/>
              <w:right w:val="nil"/>
            </w:tcBorders>
            <w:shd w:val="clear" w:color="000000" w:fill="FFFFFF"/>
            <w:vAlign w:val="bottom"/>
          </w:tcPr>
          <w:p w14:paraId="0C222BF0" w14:textId="03468639" w:rsidR="00BD6C1F" w:rsidRPr="00586E8D" w:rsidRDefault="00BD6C1F" w:rsidP="00BD6C1F">
            <w:pPr>
              <w:widowControl/>
              <w:jc w:val="right"/>
              <w:rPr>
                <w:bCs/>
                <w:spacing w:val="-2"/>
                <w:sz w:val="18"/>
                <w:szCs w:val="18"/>
              </w:rPr>
            </w:pPr>
            <w:r w:rsidRPr="00586E8D">
              <w:rPr>
                <w:bCs/>
                <w:spacing w:val="-2"/>
                <w:sz w:val="18"/>
                <w:szCs w:val="18"/>
              </w:rPr>
              <w:t>0.00</w:t>
            </w:r>
          </w:p>
        </w:tc>
      </w:tr>
      <w:tr w:rsidR="00BD6C1F" w:rsidRPr="000206BE" w14:paraId="1E6ADD3F" w14:textId="77777777" w:rsidTr="00057DF0">
        <w:trPr>
          <w:trHeight w:val="334"/>
        </w:trPr>
        <w:tc>
          <w:tcPr>
            <w:tcW w:w="5400" w:type="dxa"/>
            <w:tcBorders>
              <w:top w:val="double" w:sz="4" w:space="0" w:color="auto"/>
              <w:left w:val="nil"/>
              <w:bottom w:val="double" w:sz="4" w:space="0" w:color="auto"/>
              <w:right w:val="nil"/>
            </w:tcBorders>
            <w:shd w:val="clear" w:color="000000" w:fill="FFFFFF"/>
            <w:noWrap/>
            <w:vAlign w:val="bottom"/>
          </w:tcPr>
          <w:p w14:paraId="0AE20D97" w14:textId="77777777" w:rsidR="00BD6C1F" w:rsidRPr="0082110A" w:rsidRDefault="00BD6C1F" w:rsidP="00BD6C1F">
            <w:pPr>
              <w:widowControl/>
              <w:rPr>
                <w:sz w:val="18"/>
                <w:szCs w:val="18"/>
                <w:lang w:val="en-CA" w:eastAsia="en-CA"/>
              </w:rPr>
            </w:pPr>
            <w:r w:rsidRPr="0082110A">
              <w:rPr>
                <w:sz w:val="18"/>
                <w:szCs w:val="18"/>
                <w:lang w:val="en-CA" w:eastAsia="en-CA"/>
              </w:rPr>
              <w:t>Weighted average number of shares outstanding</w:t>
            </w:r>
          </w:p>
        </w:tc>
        <w:tc>
          <w:tcPr>
            <w:tcW w:w="450" w:type="dxa"/>
            <w:tcBorders>
              <w:top w:val="double" w:sz="4" w:space="0" w:color="auto"/>
              <w:left w:val="nil"/>
              <w:bottom w:val="double" w:sz="4" w:space="0" w:color="auto"/>
              <w:right w:val="nil"/>
            </w:tcBorders>
            <w:shd w:val="clear" w:color="000000" w:fill="FFFFFF"/>
            <w:noWrap/>
            <w:vAlign w:val="bottom"/>
          </w:tcPr>
          <w:p w14:paraId="1D2FFEF3" w14:textId="77777777" w:rsidR="00BD6C1F" w:rsidRPr="0082110A" w:rsidRDefault="00BD6C1F" w:rsidP="00BD6C1F">
            <w:pPr>
              <w:widowControl/>
              <w:jc w:val="right"/>
              <w:rPr>
                <w:b/>
                <w:spacing w:val="-2"/>
                <w:sz w:val="18"/>
                <w:szCs w:val="18"/>
              </w:rPr>
            </w:pPr>
          </w:p>
        </w:tc>
        <w:tc>
          <w:tcPr>
            <w:tcW w:w="270" w:type="dxa"/>
            <w:tcBorders>
              <w:top w:val="double" w:sz="4" w:space="0" w:color="auto"/>
              <w:left w:val="nil"/>
              <w:bottom w:val="double" w:sz="4" w:space="0" w:color="auto"/>
              <w:right w:val="nil"/>
            </w:tcBorders>
            <w:shd w:val="clear" w:color="000000" w:fill="FFFFFF"/>
            <w:vAlign w:val="bottom"/>
          </w:tcPr>
          <w:p w14:paraId="55546061" w14:textId="77777777" w:rsidR="00BD6C1F" w:rsidRPr="0082110A" w:rsidRDefault="00BD6C1F" w:rsidP="00BD6C1F">
            <w:pPr>
              <w:widowControl/>
              <w:jc w:val="right"/>
              <w:rPr>
                <w:spacing w:val="-2"/>
                <w:sz w:val="18"/>
                <w:szCs w:val="18"/>
              </w:rPr>
            </w:pPr>
          </w:p>
        </w:tc>
        <w:tc>
          <w:tcPr>
            <w:tcW w:w="1535" w:type="dxa"/>
            <w:tcBorders>
              <w:top w:val="double" w:sz="4" w:space="0" w:color="auto"/>
              <w:left w:val="nil"/>
              <w:bottom w:val="double" w:sz="4" w:space="0" w:color="auto"/>
              <w:right w:val="nil"/>
            </w:tcBorders>
            <w:shd w:val="clear" w:color="auto" w:fill="auto"/>
            <w:vAlign w:val="bottom"/>
          </w:tcPr>
          <w:p w14:paraId="21025A9B" w14:textId="60A691AB" w:rsidR="00BD6C1F" w:rsidRPr="0082110A" w:rsidRDefault="003156F4" w:rsidP="00BD6C1F">
            <w:pPr>
              <w:widowControl/>
              <w:jc w:val="right"/>
              <w:rPr>
                <w:b/>
                <w:spacing w:val="-2"/>
                <w:sz w:val="18"/>
                <w:szCs w:val="18"/>
              </w:rPr>
            </w:pPr>
            <w:r>
              <w:rPr>
                <w:b/>
                <w:spacing w:val="-2"/>
                <w:sz w:val="18"/>
                <w:szCs w:val="18"/>
              </w:rPr>
              <w:t>104,247,304</w:t>
            </w:r>
          </w:p>
        </w:tc>
        <w:tc>
          <w:tcPr>
            <w:tcW w:w="1711" w:type="dxa"/>
            <w:tcBorders>
              <w:top w:val="double" w:sz="4" w:space="0" w:color="auto"/>
              <w:left w:val="nil"/>
              <w:bottom w:val="double" w:sz="4" w:space="0" w:color="auto"/>
              <w:right w:val="nil"/>
            </w:tcBorders>
            <w:shd w:val="clear" w:color="000000" w:fill="FFFFFF"/>
            <w:vAlign w:val="bottom"/>
          </w:tcPr>
          <w:p w14:paraId="725ABF54" w14:textId="46B15072" w:rsidR="00BD6C1F" w:rsidRPr="00586E8D" w:rsidRDefault="00BD6C1F" w:rsidP="00BD6C1F">
            <w:pPr>
              <w:widowControl/>
              <w:jc w:val="right"/>
              <w:rPr>
                <w:bCs/>
                <w:spacing w:val="-2"/>
                <w:sz w:val="18"/>
                <w:szCs w:val="18"/>
              </w:rPr>
            </w:pPr>
            <w:r w:rsidRPr="00586E8D">
              <w:rPr>
                <w:bCs/>
                <w:spacing w:val="-2"/>
                <w:sz w:val="18"/>
                <w:szCs w:val="18"/>
              </w:rPr>
              <w:t>89,952,8</w:t>
            </w:r>
            <w:r w:rsidR="00A60C2E">
              <w:rPr>
                <w:bCs/>
                <w:spacing w:val="-2"/>
                <w:sz w:val="18"/>
                <w:szCs w:val="18"/>
              </w:rPr>
              <w:t>08</w:t>
            </w:r>
          </w:p>
        </w:tc>
      </w:tr>
    </w:tbl>
    <w:p w14:paraId="69F527C2" w14:textId="77777777" w:rsidR="00303605" w:rsidRPr="000206BE" w:rsidRDefault="00303605" w:rsidP="00447A6D">
      <w:pPr>
        <w:pStyle w:val="BodyText"/>
        <w:rPr>
          <w:b/>
          <w:i/>
          <w:iCs/>
          <w:lang w:val="en-CA" w:eastAsia="en-CA"/>
        </w:rPr>
      </w:pPr>
    </w:p>
    <w:p w14:paraId="7D033908" w14:textId="77777777" w:rsidR="00912FF2" w:rsidRDefault="00912FF2" w:rsidP="00793DD2">
      <w:pPr>
        <w:pStyle w:val="BodyText"/>
        <w:jc w:val="center"/>
        <w:rPr>
          <w:b/>
          <w:i/>
          <w:iCs/>
          <w:lang w:val="en-CA" w:eastAsia="en-CA"/>
        </w:rPr>
      </w:pPr>
    </w:p>
    <w:p w14:paraId="7FAFD5E6" w14:textId="77777777" w:rsidR="00912FF2" w:rsidRDefault="00912FF2" w:rsidP="00793DD2">
      <w:pPr>
        <w:pStyle w:val="BodyText"/>
        <w:jc w:val="center"/>
        <w:rPr>
          <w:b/>
          <w:i/>
          <w:iCs/>
          <w:lang w:val="en-CA" w:eastAsia="en-CA"/>
        </w:rPr>
      </w:pPr>
    </w:p>
    <w:p w14:paraId="14BBEB2B" w14:textId="35B0E08D" w:rsidR="00303605" w:rsidRPr="000206BE" w:rsidRDefault="00623D0E" w:rsidP="00793DD2">
      <w:pPr>
        <w:pStyle w:val="BodyText"/>
        <w:jc w:val="center"/>
        <w:rPr>
          <w:b/>
          <w:bCs/>
        </w:rPr>
      </w:pPr>
      <w:r w:rsidRPr="000206BE">
        <w:rPr>
          <w:b/>
          <w:i/>
          <w:iCs/>
          <w:lang w:val="en-CA" w:eastAsia="en-CA"/>
        </w:rPr>
        <w:t>-See Accompanying Notes-</w:t>
      </w:r>
    </w:p>
    <w:p w14:paraId="08398380" w14:textId="77777777" w:rsidR="000B223A" w:rsidRPr="000206BE" w:rsidRDefault="000B223A" w:rsidP="001C4478">
      <w:pPr>
        <w:pStyle w:val="BodyText"/>
        <w:rPr>
          <w:bCs/>
        </w:rPr>
      </w:pPr>
    </w:p>
    <w:p w14:paraId="217685CA" w14:textId="77777777" w:rsidR="00B96984" w:rsidRPr="000206BE" w:rsidRDefault="00B96984" w:rsidP="001C4478">
      <w:pPr>
        <w:pStyle w:val="BodyText"/>
        <w:rPr>
          <w:bCs/>
        </w:rPr>
      </w:pPr>
    </w:p>
    <w:p w14:paraId="5AF76A60" w14:textId="77777777" w:rsidR="00B96984" w:rsidRPr="000206BE" w:rsidRDefault="00B96984" w:rsidP="001C4478">
      <w:pPr>
        <w:pStyle w:val="BodyText"/>
        <w:rPr>
          <w:bCs/>
        </w:rPr>
      </w:pPr>
    </w:p>
    <w:p w14:paraId="60B8D677" w14:textId="77777777" w:rsidR="0087489B" w:rsidRPr="000206BE" w:rsidRDefault="0087489B" w:rsidP="001C4478">
      <w:pPr>
        <w:pStyle w:val="BodyText"/>
        <w:rPr>
          <w:bCs/>
        </w:rPr>
        <w:sectPr w:rsidR="0087489B" w:rsidRPr="000206BE" w:rsidSect="0042130A">
          <w:headerReference w:type="even" r:id="rId24"/>
          <w:headerReference w:type="default" r:id="rId25"/>
          <w:headerReference w:type="first" r:id="rId26"/>
          <w:type w:val="continuous"/>
          <w:pgSz w:w="12240" w:h="15840"/>
          <w:pgMar w:top="1350" w:right="1440" w:bottom="1440" w:left="1440" w:header="709" w:footer="709" w:gutter="0"/>
          <w:cols w:space="708"/>
          <w:titlePg/>
          <w:docGrid w:linePitch="360"/>
        </w:sectPr>
      </w:pPr>
    </w:p>
    <w:tbl>
      <w:tblPr>
        <w:tblW w:w="13183" w:type="dxa"/>
        <w:tblLayout w:type="fixed"/>
        <w:tblLook w:val="0000" w:firstRow="0" w:lastRow="0" w:firstColumn="0" w:lastColumn="0" w:noHBand="0" w:noVBand="0"/>
      </w:tblPr>
      <w:tblGrid>
        <w:gridCol w:w="4590"/>
        <w:gridCol w:w="360"/>
        <w:gridCol w:w="1470"/>
        <w:gridCol w:w="243"/>
        <w:gridCol w:w="9"/>
        <w:gridCol w:w="1262"/>
        <w:gridCol w:w="288"/>
        <w:gridCol w:w="283"/>
        <w:gridCol w:w="1276"/>
        <w:gridCol w:w="284"/>
        <w:gridCol w:w="1417"/>
        <w:gridCol w:w="284"/>
        <w:gridCol w:w="1417"/>
      </w:tblGrid>
      <w:tr w:rsidR="00592206" w:rsidRPr="000206BE" w14:paraId="0A974928" w14:textId="77777777" w:rsidTr="00C57554">
        <w:trPr>
          <w:trHeight w:val="220"/>
        </w:trPr>
        <w:tc>
          <w:tcPr>
            <w:tcW w:w="4590" w:type="dxa"/>
            <w:tcBorders>
              <w:top w:val="nil"/>
              <w:left w:val="nil"/>
              <w:bottom w:val="double" w:sz="4" w:space="0" w:color="auto"/>
              <w:right w:val="nil"/>
            </w:tcBorders>
            <w:shd w:val="clear" w:color="auto" w:fill="auto"/>
            <w:noWrap/>
            <w:vAlign w:val="bottom"/>
          </w:tcPr>
          <w:p w14:paraId="2E087B28" w14:textId="77777777" w:rsidR="00592206" w:rsidRPr="000206BE" w:rsidRDefault="00592206" w:rsidP="004B6FB6">
            <w:pPr>
              <w:rPr>
                <w:i/>
                <w:sz w:val="20"/>
              </w:rPr>
            </w:pPr>
          </w:p>
        </w:tc>
        <w:tc>
          <w:tcPr>
            <w:tcW w:w="360" w:type="dxa"/>
            <w:tcBorders>
              <w:top w:val="nil"/>
              <w:left w:val="nil"/>
              <w:bottom w:val="double" w:sz="4" w:space="0" w:color="auto"/>
              <w:right w:val="nil"/>
            </w:tcBorders>
          </w:tcPr>
          <w:p w14:paraId="166984E7" w14:textId="77777777" w:rsidR="00592206" w:rsidRPr="000206BE" w:rsidRDefault="00592206" w:rsidP="0056043E">
            <w:pPr>
              <w:ind w:right="72"/>
              <w:jc w:val="center"/>
              <w:rPr>
                <w:b/>
                <w:bCs/>
                <w:sz w:val="20"/>
              </w:rPr>
            </w:pPr>
          </w:p>
        </w:tc>
        <w:tc>
          <w:tcPr>
            <w:tcW w:w="1470" w:type="dxa"/>
            <w:tcBorders>
              <w:top w:val="nil"/>
              <w:left w:val="nil"/>
              <w:bottom w:val="double" w:sz="4" w:space="0" w:color="auto"/>
              <w:right w:val="nil"/>
            </w:tcBorders>
          </w:tcPr>
          <w:p w14:paraId="691C3D73" w14:textId="77777777" w:rsidR="00592206" w:rsidRPr="000206BE" w:rsidRDefault="00592206" w:rsidP="0056043E">
            <w:pPr>
              <w:ind w:right="72"/>
              <w:jc w:val="center"/>
              <w:rPr>
                <w:b/>
                <w:bCs/>
                <w:sz w:val="20"/>
              </w:rPr>
            </w:pPr>
          </w:p>
        </w:tc>
        <w:tc>
          <w:tcPr>
            <w:tcW w:w="243" w:type="dxa"/>
            <w:tcBorders>
              <w:top w:val="nil"/>
              <w:left w:val="nil"/>
              <w:bottom w:val="double" w:sz="4" w:space="0" w:color="auto"/>
              <w:right w:val="nil"/>
            </w:tcBorders>
          </w:tcPr>
          <w:p w14:paraId="7B6E5312" w14:textId="77777777" w:rsidR="00592206" w:rsidRPr="000206BE" w:rsidRDefault="00592206" w:rsidP="0056043E">
            <w:pPr>
              <w:jc w:val="center"/>
              <w:rPr>
                <w:b/>
                <w:bCs/>
                <w:sz w:val="20"/>
              </w:rPr>
            </w:pPr>
          </w:p>
        </w:tc>
        <w:tc>
          <w:tcPr>
            <w:tcW w:w="6520" w:type="dxa"/>
            <w:gridSpan w:val="9"/>
            <w:tcBorders>
              <w:top w:val="nil"/>
              <w:left w:val="nil"/>
              <w:bottom w:val="double" w:sz="4" w:space="0" w:color="auto"/>
              <w:right w:val="nil"/>
            </w:tcBorders>
          </w:tcPr>
          <w:p w14:paraId="5275C1C3" w14:textId="77777777" w:rsidR="00592206" w:rsidRPr="000206BE" w:rsidRDefault="00592206" w:rsidP="000D7828">
            <w:pPr>
              <w:ind w:left="-150" w:right="-102" w:firstLine="150"/>
              <w:jc w:val="center"/>
              <w:rPr>
                <w:b/>
                <w:bCs/>
                <w:sz w:val="20"/>
              </w:rPr>
            </w:pPr>
          </w:p>
        </w:tc>
      </w:tr>
      <w:tr w:rsidR="00592206" w:rsidRPr="000206BE" w14:paraId="161CB9ED" w14:textId="77777777" w:rsidTr="00C57554">
        <w:trPr>
          <w:trHeight w:val="211"/>
        </w:trPr>
        <w:tc>
          <w:tcPr>
            <w:tcW w:w="4590" w:type="dxa"/>
            <w:tcBorders>
              <w:top w:val="double" w:sz="4" w:space="0" w:color="auto"/>
              <w:left w:val="nil"/>
              <w:right w:val="nil"/>
            </w:tcBorders>
            <w:shd w:val="clear" w:color="auto" w:fill="auto"/>
            <w:noWrap/>
            <w:vAlign w:val="bottom"/>
          </w:tcPr>
          <w:p w14:paraId="2E56094C" w14:textId="77777777" w:rsidR="00592206" w:rsidRPr="000206BE" w:rsidRDefault="00592206" w:rsidP="004B6FB6">
            <w:pPr>
              <w:rPr>
                <w:sz w:val="20"/>
              </w:rPr>
            </w:pPr>
            <w:r w:rsidRPr="000206BE">
              <w:rPr>
                <w:sz w:val="20"/>
              </w:rPr>
              <w:t> </w:t>
            </w:r>
          </w:p>
        </w:tc>
        <w:tc>
          <w:tcPr>
            <w:tcW w:w="360" w:type="dxa"/>
            <w:tcBorders>
              <w:top w:val="double" w:sz="4" w:space="0" w:color="auto"/>
              <w:left w:val="nil"/>
              <w:right w:val="nil"/>
            </w:tcBorders>
          </w:tcPr>
          <w:p w14:paraId="35AF867F" w14:textId="77777777" w:rsidR="00592206" w:rsidRPr="000206BE" w:rsidRDefault="00592206" w:rsidP="0056043E">
            <w:pPr>
              <w:jc w:val="right"/>
              <w:rPr>
                <w:b/>
                <w:bCs/>
                <w:sz w:val="20"/>
              </w:rPr>
            </w:pPr>
          </w:p>
        </w:tc>
        <w:tc>
          <w:tcPr>
            <w:tcW w:w="1470" w:type="dxa"/>
            <w:tcBorders>
              <w:top w:val="double" w:sz="4" w:space="0" w:color="auto"/>
              <w:left w:val="nil"/>
              <w:right w:val="nil"/>
            </w:tcBorders>
          </w:tcPr>
          <w:p w14:paraId="29C78078" w14:textId="77777777" w:rsidR="00592206" w:rsidRPr="000206BE" w:rsidRDefault="00592206" w:rsidP="0056043E">
            <w:pPr>
              <w:jc w:val="right"/>
              <w:rPr>
                <w:b/>
                <w:bCs/>
                <w:sz w:val="20"/>
              </w:rPr>
            </w:pPr>
          </w:p>
          <w:p w14:paraId="65983643" w14:textId="77777777" w:rsidR="00592206" w:rsidRPr="000206BE" w:rsidRDefault="00592206" w:rsidP="0056043E">
            <w:pPr>
              <w:jc w:val="right"/>
              <w:rPr>
                <w:b/>
                <w:bCs/>
                <w:sz w:val="20"/>
              </w:rPr>
            </w:pPr>
          </w:p>
          <w:p w14:paraId="1B668ACC" w14:textId="77777777" w:rsidR="00592206" w:rsidRPr="000206BE" w:rsidRDefault="00592206" w:rsidP="0056043E">
            <w:pPr>
              <w:jc w:val="right"/>
              <w:rPr>
                <w:b/>
                <w:bCs/>
                <w:sz w:val="20"/>
              </w:rPr>
            </w:pPr>
            <w:r w:rsidRPr="000206BE">
              <w:rPr>
                <w:b/>
                <w:bCs/>
                <w:sz w:val="20"/>
              </w:rPr>
              <w:t>Share capital</w:t>
            </w:r>
          </w:p>
          <w:p w14:paraId="47E78183" w14:textId="77777777" w:rsidR="00592206" w:rsidRPr="000206BE" w:rsidRDefault="00592206" w:rsidP="00B15BA4">
            <w:pPr>
              <w:jc w:val="right"/>
              <w:rPr>
                <w:b/>
                <w:bCs/>
                <w:sz w:val="20"/>
              </w:rPr>
            </w:pPr>
            <w:r w:rsidRPr="000206BE">
              <w:rPr>
                <w:b/>
                <w:bCs/>
                <w:sz w:val="20"/>
              </w:rPr>
              <w:t>#</w:t>
            </w:r>
          </w:p>
        </w:tc>
        <w:tc>
          <w:tcPr>
            <w:tcW w:w="1514" w:type="dxa"/>
            <w:gridSpan w:val="3"/>
            <w:tcBorders>
              <w:top w:val="double" w:sz="4" w:space="0" w:color="auto"/>
              <w:left w:val="nil"/>
              <w:right w:val="nil"/>
            </w:tcBorders>
            <w:vAlign w:val="bottom"/>
          </w:tcPr>
          <w:p w14:paraId="17604A6C" w14:textId="77777777" w:rsidR="00592206" w:rsidRPr="000206BE" w:rsidRDefault="00592206" w:rsidP="006C7959">
            <w:pPr>
              <w:jc w:val="right"/>
              <w:rPr>
                <w:b/>
                <w:bCs/>
                <w:sz w:val="20"/>
              </w:rPr>
            </w:pPr>
          </w:p>
          <w:p w14:paraId="6413BDD1" w14:textId="77777777" w:rsidR="00592206" w:rsidRPr="000206BE" w:rsidRDefault="00592206" w:rsidP="006C7959">
            <w:pPr>
              <w:jc w:val="right"/>
              <w:rPr>
                <w:b/>
                <w:bCs/>
                <w:sz w:val="20"/>
              </w:rPr>
            </w:pPr>
          </w:p>
          <w:p w14:paraId="6465D7AF" w14:textId="77777777" w:rsidR="00592206" w:rsidRPr="000206BE" w:rsidRDefault="00592206" w:rsidP="006C7959">
            <w:pPr>
              <w:jc w:val="right"/>
              <w:rPr>
                <w:b/>
                <w:bCs/>
                <w:sz w:val="20"/>
              </w:rPr>
            </w:pPr>
            <w:r w:rsidRPr="000206BE">
              <w:rPr>
                <w:b/>
                <w:bCs/>
                <w:sz w:val="20"/>
              </w:rPr>
              <w:t>Share capital</w:t>
            </w:r>
          </w:p>
          <w:p w14:paraId="32104FD5" w14:textId="77777777" w:rsidR="00592206" w:rsidRPr="000206BE" w:rsidRDefault="00592206" w:rsidP="006C7959">
            <w:pPr>
              <w:jc w:val="right"/>
              <w:rPr>
                <w:b/>
                <w:bCs/>
                <w:sz w:val="20"/>
              </w:rPr>
            </w:pPr>
            <w:r w:rsidRPr="000206BE">
              <w:rPr>
                <w:b/>
                <w:bCs/>
                <w:sz w:val="20"/>
              </w:rPr>
              <w:t xml:space="preserve"> $</w:t>
            </w:r>
          </w:p>
        </w:tc>
        <w:tc>
          <w:tcPr>
            <w:tcW w:w="288" w:type="dxa"/>
            <w:tcBorders>
              <w:top w:val="double" w:sz="4" w:space="0" w:color="auto"/>
              <w:left w:val="nil"/>
              <w:right w:val="nil"/>
            </w:tcBorders>
            <w:vAlign w:val="bottom"/>
          </w:tcPr>
          <w:p w14:paraId="688FBB56" w14:textId="7CC7DAED" w:rsidR="00592206" w:rsidRPr="000206BE" w:rsidRDefault="00592206" w:rsidP="006C7959">
            <w:pPr>
              <w:ind w:left="-138"/>
              <w:jc w:val="right"/>
              <w:rPr>
                <w:b/>
                <w:bCs/>
                <w:sz w:val="20"/>
              </w:rPr>
            </w:pPr>
          </w:p>
        </w:tc>
        <w:tc>
          <w:tcPr>
            <w:tcW w:w="1559" w:type="dxa"/>
            <w:gridSpan w:val="2"/>
            <w:tcBorders>
              <w:top w:val="double" w:sz="4" w:space="0" w:color="auto"/>
              <w:left w:val="nil"/>
              <w:right w:val="nil"/>
            </w:tcBorders>
            <w:vAlign w:val="bottom"/>
          </w:tcPr>
          <w:p w14:paraId="6D12AE1A" w14:textId="0EA13484" w:rsidR="00592206" w:rsidRPr="000206BE" w:rsidRDefault="009974DE" w:rsidP="006C7959">
            <w:pPr>
              <w:ind w:left="-138"/>
              <w:jc w:val="right"/>
              <w:rPr>
                <w:b/>
                <w:bCs/>
                <w:sz w:val="20"/>
              </w:rPr>
            </w:pPr>
            <w:r>
              <w:rPr>
                <w:b/>
                <w:bCs/>
                <w:sz w:val="20"/>
              </w:rPr>
              <w:t>Contributed Surplus</w:t>
            </w:r>
          </w:p>
          <w:p w14:paraId="00AE0FD0" w14:textId="77777777" w:rsidR="00592206" w:rsidRPr="000206BE" w:rsidRDefault="00592206" w:rsidP="006C7959">
            <w:pPr>
              <w:ind w:left="-138"/>
              <w:jc w:val="right"/>
              <w:rPr>
                <w:b/>
                <w:bCs/>
                <w:sz w:val="20"/>
              </w:rPr>
            </w:pPr>
            <w:r w:rsidRPr="000206BE">
              <w:rPr>
                <w:b/>
                <w:bCs/>
                <w:sz w:val="20"/>
              </w:rPr>
              <w:t xml:space="preserve"> $</w:t>
            </w:r>
          </w:p>
        </w:tc>
        <w:tc>
          <w:tcPr>
            <w:tcW w:w="1701" w:type="dxa"/>
            <w:gridSpan w:val="2"/>
            <w:tcBorders>
              <w:top w:val="double" w:sz="4" w:space="0" w:color="auto"/>
              <w:left w:val="nil"/>
              <w:right w:val="nil"/>
            </w:tcBorders>
            <w:vAlign w:val="bottom"/>
          </w:tcPr>
          <w:p w14:paraId="30A1557C" w14:textId="77777777" w:rsidR="00592206" w:rsidRPr="000206BE" w:rsidRDefault="00592206" w:rsidP="006C7959">
            <w:pPr>
              <w:jc w:val="right"/>
              <w:rPr>
                <w:b/>
                <w:bCs/>
                <w:sz w:val="20"/>
              </w:rPr>
            </w:pPr>
          </w:p>
          <w:p w14:paraId="3859555C" w14:textId="77777777" w:rsidR="00592206" w:rsidRPr="000206BE" w:rsidRDefault="00592206" w:rsidP="006C7959">
            <w:pPr>
              <w:jc w:val="right"/>
              <w:rPr>
                <w:b/>
                <w:bCs/>
                <w:sz w:val="20"/>
              </w:rPr>
            </w:pPr>
          </w:p>
          <w:p w14:paraId="562C6B32" w14:textId="77777777" w:rsidR="00592206" w:rsidRPr="000206BE" w:rsidRDefault="00592206" w:rsidP="006C7959">
            <w:pPr>
              <w:jc w:val="right"/>
              <w:rPr>
                <w:b/>
                <w:bCs/>
                <w:sz w:val="20"/>
              </w:rPr>
            </w:pPr>
            <w:r w:rsidRPr="000206BE">
              <w:rPr>
                <w:b/>
                <w:bCs/>
                <w:sz w:val="20"/>
              </w:rPr>
              <w:t>Deficit</w:t>
            </w:r>
          </w:p>
          <w:p w14:paraId="01194B50" w14:textId="77777777" w:rsidR="00592206" w:rsidRPr="000206BE" w:rsidRDefault="00592206" w:rsidP="006C7959">
            <w:pPr>
              <w:jc w:val="right"/>
              <w:rPr>
                <w:b/>
                <w:bCs/>
                <w:sz w:val="20"/>
              </w:rPr>
            </w:pPr>
            <w:r w:rsidRPr="000206BE">
              <w:rPr>
                <w:b/>
                <w:bCs/>
                <w:sz w:val="20"/>
              </w:rPr>
              <w:t xml:space="preserve">$ </w:t>
            </w:r>
          </w:p>
        </w:tc>
        <w:tc>
          <w:tcPr>
            <w:tcW w:w="1701" w:type="dxa"/>
            <w:gridSpan w:val="2"/>
            <w:tcBorders>
              <w:top w:val="double" w:sz="4" w:space="0" w:color="auto"/>
              <w:left w:val="nil"/>
              <w:right w:val="nil"/>
            </w:tcBorders>
            <w:vAlign w:val="bottom"/>
          </w:tcPr>
          <w:p w14:paraId="426AEFFD" w14:textId="77777777" w:rsidR="00592206" w:rsidRPr="000206BE" w:rsidRDefault="00592206" w:rsidP="006C7959">
            <w:pPr>
              <w:ind w:left="-87"/>
              <w:jc w:val="right"/>
              <w:rPr>
                <w:b/>
                <w:bCs/>
                <w:sz w:val="20"/>
              </w:rPr>
            </w:pPr>
          </w:p>
          <w:p w14:paraId="1B859208" w14:textId="77777777" w:rsidR="00592206" w:rsidRPr="000206BE" w:rsidRDefault="00592206" w:rsidP="006C7959">
            <w:pPr>
              <w:ind w:left="-87"/>
              <w:jc w:val="right"/>
              <w:rPr>
                <w:b/>
                <w:bCs/>
                <w:sz w:val="20"/>
              </w:rPr>
            </w:pPr>
          </w:p>
          <w:p w14:paraId="6E400908" w14:textId="77777777" w:rsidR="00592206" w:rsidRPr="000206BE" w:rsidRDefault="00592206" w:rsidP="006C7959">
            <w:pPr>
              <w:ind w:left="-87"/>
              <w:jc w:val="right"/>
              <w:rPr>
                <w:b/>
                <w:bCs/>
                <w:sz w:val="20"/>
              </w:rPr>
            </w:pPr>
            <w:r w:rsidRPr="000206BE">
              <w:rPr>
                <w:b/>
                <w:bCs/>
                <w:sz w:val="20"/>
              </w:rPr>
              <w:t>Total equity</w:t>
            </w:r>
          </w:p>
          <w:p w14:paraId="29A766BA" w14:textId="77777777" w:rsidR="00592206" w:rsidRPr="000206BE" w:rsidRDefault="00592206" w:rsidP="006C7959">
            <w:pPr>
              <w:ind w:left="-87"/>
              <w:jc w:val="right"/>
              <w:rPr>
                <w:b/>
                <w:bCs/>
                <w:sz w:val="20"/>
              </w:rPr>
            </w:pPr>
            <w:r w:rsidRPr="000206BE">
              <w:rPr>
                <w:b/>
                <w:bCs/>
                <w:sz w:val="20"/>
              </w:rPr>
              <w:t>$</w:t>
            </w:r>
          </w:p>
        </w:tc>
      </w:tr>
      <w:tr w:rsidR="00586E8D" w:rsidRPr="005D1ED8" w14:paraId="64A3B9AF" w14:textId="77777777" w:rsidTr="00C57554">
        <w:trPr>
          <w:trHeight w:val="288"/>
        </w:trPr>
        <w:tc>
          <w:tcPr>
            <w:tcW w:w="4590" w:type="dxa"/>
            <w:tcBorders>
              <w:top w:val="single" w:sz="4" w:space="0" w:color="auto"/>
              <w:left w:val="nil"/>
              <w:right w:val="nil"/>
            </w:tcBorders>
            <w:shd w:val="clear" w:color="auto" w:fill="auto"/>
            <w:noWrap/>
            <w:vAlign w:val="bottom"/>
          </w:tcPr>
          <w:p w14:paraId="67157018" w14:textId="4A601380" w:rsidR="00586E8D" w:rsidRPr="005D1ED8" w:rsidRDefault="00586E8D" w:rsidP="005D1ED8">
            <w:pPr>
              <w:ind w:left="144" w:hanging="144"/>
              <w:rPr>
                <w:b/>
                <w:sz w:val="20"/>
              </w:rPr>
            </w:pPr>
            <w:r w:rsidRPr="005D1ED8">
              <w:rPr>
                <w:b/>
                <w:sz w:val="20"/>
              </w:rPr>
              <w:t>Balance – March 31, 201</w:t>
            </w:r>
            <w:r w:rsidR="00B8731D">
              <w:rPr>
                <w:b/>
                <w:sz w:val="20"/>
              </w:rPr>
              <w:t>9</w:t>
            </w:r>
          </w:p>
        </w:tc>
        <w:tc>
          <w:tcPr>
            <w:tcW w:w="360" w:type="dxa"/>
            <w:tcBorders>
              <w:top w:val="single" w:sz="4" w:space="0" w:color="auto"/>
              <w:left w:val="nil"/>
              <w:right w:val="nil"/>
            </w:tcBorders>
          </w:tcPr>
          <w:p w14:paraId="3C7A2EFF" w14:textId="77777777" w:rsidR="00586E8D" w:rsidRPr="005D1ED8" w:rsidRDefault="00586E8D" w:rsidP="00586E8D">
            <w:pPr>
              <w:tabs>
                <w:tab w:val="decimal" w:pos="965"/>
              </w:tabs>
              <w:ind w:left="144" w:hanging="144"/>
              <w:jc w:val="right"/>
              <w:rPr>
                <w:b/>
                <w:sz w:val="20"/>
              </w:rPr>
            </w:pPr>
          </w:p>
        </w:tc>
        <w:tc>
          <w:tcPr>
            <w:tcW w:w="1470" w:type="dxa"/>
            <w:tcBorders>
              <w:top w:val="single" w:sz="4" w:space="0" w:color="auto"/>
              <w:left w:val="nil"/>
              <w:right w:val="nil"/>
            </w:tcBorders>
            <w:vAlign w:val="bottom"/>
          </w:tcPr>
          <w:p w14:paraId="3669C427" w14:textId="2DCFEC0B" w:rsidR="00586E8D" w:rsidRPr="005D1ED8" w:rsidRDefault="00B8731D" w:rsidP="005D1ED8">
            <w:pPr>
              <w:tabs>
                <w:tab w:val="decimal" w:pos="965"/>
              </w:tabs>
              <w:ind w:left="144" w:hanging="144"/>
              <w:jc w:val="right"/>
              <w:rPr>
                <w:b/>
                <w:sz w:val="20"/>
              </w:rPr>
            </w:pPr>
            <w:r>
              <w:rPr>
                <w:b/>
                <w:spacing w:val="-2"/>
                <w:sz w:val="20"/>
              </w:rPr>
              <w:t>96,530,640</w:t>
            </w:r>
          </w:p>
        </w:tc>
        <w:tc>
          <w:tcPr>
            <w:tcW w:w="252" w:type="dxa"/>
            <w:gridSpan w:val="2"/>
            <w:tcBorders>
              <w:top w:val="single" w:sz="4" w:space="0" w:color="auto"/>
              <w:left w:val="nil"/>
              <w:right w:val="nil"/>
            </w:tcBorders>
            <w:vAlign w:val="bottom"/>
          </w:tcPr>
          <w:p w14:paraId="1296EC01" w14:textId="77777777" w:rsidR="00586E8D" w:rsidRPr="005D1ED8" w:rsidRDefault="00586E8D" w:rsidP="005D1ED8">
            <w:pPr>
              <w:tabs>
                <w:tab w:val="decimal" w:pos="965"/>
              </w:tabs>
              <w:ind w:left="144" w:hanging="144"/>
              <w:jc w:val="right"/>
              <w:rPr>
                <w:b/>
                <w:sz w:val="20"/>
              </w:rPr>
            </w:pPr>
          </w:p>
        </w:tc>
        <w:tc>
          <w:tcPr>
            <w:tcW w:w="1262" w:type="dxa"/>
            <w:tcBorders>
              <w:top w:val="single" w:sz="4" w:space="0" w:color="auto"/>
              <w:left w:val="nil"/>
              <w:right w:val="nil"/>
            </w:tcBorders>
            <w:shd w:val="clear" w:color="auto" w:fill="auto"/>
            <w:noWrap/>
            <w:vAlign w:val="bottom"/>
          </w:tcPr>
          <w:p w14:paraId="42E8A20D" w14:textId="0F7700FF" w:rsidR="00586E8D" w:rsidRPr="005D1ED8" w:rsidRDefault="00B8731D" w:rsidP="005D1ED8">
            <w:pPr>
              <w:tabs>
                <w:tab w:val="decimal" w:pos="916"/>
                <w:tab w:val="decimal" w:pos="965"/>
              </w:tabs>
              <w:ind w:left="144" w:hanging="144"/>
              <w:jc w:val="right"/>
              <w:rPr>
                <w:b/>
                <w:sz w:val="20"/>
              </w:rPr>
            </w:pPr>
            <w:r>
              <w:rPr>
                <w:b/>
                <w:spacing w:val="-2"/>
                <w:sz w:val="20"/>
              </w:rPr>
              <w:t>33,974,141</w:t>
            </w:r>
          </w:p>
        </w:tc>
        <w:tc>
          <w:tcPr>
            <w:tcW w:w="288" w:type="dxa"/>
            <w:tcBorders>
              <w:top w:val="single" w:sz="4" w:space="0" w:color="auto"/>
              <w:left w:val="nil"/>
              <w:right w:val="nil"/>
            </w:tcBorders>
            <w:vAlign w:val="bottom"/>
          </w:tcPr>
          <w:p w14:paraId="719DB5B2" w14:textId="1A26A5F8" w:rsidR="00586E8D" w:rsidRPr="005D1ED8" w:rsidRDefault="00586E8D" w:rsidP="005D1ED8">
            <w:pPr>
              <w:tabs>
                <w:tab w:val="decimal" w:pos="965"/>
              </w:tabs>
              <w:ind w:left="144" w:hanging="144"/>
              <w:jc w:val="right"/>
              <w:rPr>
                <w:b/>
                <w:sz w:val="20"/>
              </w:rPr>
            </w:pPr>
          </w:p>
        </w:tc>
        <w:tc>
          <w:tcPr>
            <w:tcW w:w="283" w:type="dxa"/>
            <w:tcBorders>
              <w:top w:val="single" w:sz="4" w:space="0" w:color="auto"/>
              <w:left w:val="nil"/>
              <w:right w:val="nil"/>
            </w:tcBorders>
            <w:vAlign w:val="bottom"/>
          </w:tcPr>
          <w:p w14:paraId="4A5059DC" w14:textId="77777777" w:rsidR="00586E8D" w:rsidRPr="005D1ED8" w:rsidRDefault="00586E8D" w:rsidP="005D1ED8">
            <w:pPr>
              <w:tabs>
                <w:tab w:val="decimal" w:pos="965"/>
              </w:tabs>
              <w:ind w:left="144" w:hanging="144"/>
              <w:jc w:val="right"/>
              <w:rPr>
                <w:b/>
                <w:sz w:val="20"/>
              </w:rPr>
            </w:pPr>
          </w:p>
        </w:tc>
        <w:tc>
          <w:tcPr>
            <w:tcW w:w="1276" w:type="dxa"/>
            <w:tcBorders>
              <w:top w:val="single" w:sz="4" w:space="0" w:color="auto"/>
              <w:left w:val="nil"/>
              <w:right w:val="nil"/>
            </w:tcBorders>
            <w:shd w:val="clear" w:color="auto" w:fill="auto"/>
            <w:noWrap/>
            <w:vAlign w:val="bottom"/>
          </w:tcPr>
          <w:p w14:paraId="079431DB" w14:textId="174BF571" w:rsidR="00586E8D" w:rsidRPr="005D1ED8" w:rsidRDefault="00B8731D" w:rsidP="005D1ED8">
            <w:pPr>
              <w:tabs>
                <w:tab w:val="decimal" w:pos="827"/>
                <w:tab w:val="decimal" w:pos="965"/>
              </w:tabs>
              <w:ind w:left="144" w:hanging="144"/>
              <w:jc w:val="right"/>
              <w:rPr>
                <w:b/>
                <w:sz w:val="20"/>
              </w:rPr>
            </w:pPr>
            <w:r>
              <w:rPr>
                <w:b/>
                <w:spacing w:val="-2"/>
                <w:sz w:val="20"/>
              </w:rPr>
              <w:t>3,088,214</w:t>
            </w:r>
          </w:p>
        </w:tc>
        <w:tc>
          <w:tcPr>
            <w:tcW w:w="284" w:type="dxa"/>
            <w:tcBorders>
              <w:top w:val="single" w:sz="4" w:space="0" w:color="auto"/>
              <w:left w:val="nil"/>
              <w:right w:val="nil"/>
            </w:tcBorders>
            <w:vAlign w:val="bottom"/>
          </w:tcPr>
          <w:p w14:paraId="5B49455F" w14:textId="77777777" w:rsidR="00586E8D" w:rsidRPr="005D1ED8" w:rsidRDefault="00586E8D" w:rsidP="005D1ED8">
            <w:pPr>
              <w:tabs>
                <w:tab w:val="decimal" w:pos="965"/>
              </w:tabs>
              <w:ind w:left="144" w:hanging="144"/>
              <w:jc w:val="right"/>
              <w:rPr>
                <w:b/>
                <w:sz w:val="20"/>
              </w:rPr>
            </w:pPr>
          </w:p>
        </w:tc>
        <w:tc>
          <w:tcPr>
            <w:tcW w:w="1417" w:type="dxa"/>
            <w:tcBorders>
              <w:top w:val="single" w:sz="4" w:space="0" w:color="auto"/>
              <w:left w:val="nil"/>
              <w:right w:val="nil"/>
            </w:tcBorders>
            <w:shd w:val="clear" w:color="auto" w:fill="auto"/>
            <w:noWrap/>
            <w:vAlign w:val="bottom"/>
          </w:tcPr>
          <w:p w14:paraId="24F72ACD" w14:textId="63F1D4DA" w:rsidR="00586E8D" w:rsidRPr="005D1ED8" w:rsidRDefault="00B8731D" w:rsidP="005D1ED8">
            <w:pPr>
              <w:tabs>
                <w:tab w:val="decimal" w:pos="899"/>
                <w:tab w:val="decimal" w:pos="965"/>
              </w:tabs>
              <w:ind w:left="144" w:hanging="144"/>
              <w:jc w:val="right"/>
              <w:rPr>
                <w:b/>
                <w:sz w:val="20"/>
              </w:rPr>
            </w:pPr>
            <w:r>
              <w:rPr>
                <w:b/>
                <w:spacing w:val="-2"/>
                <w:sz w:val="20"/>
              </w:rPr>
              <w:t>(22,175,332)</w:t>
            </w:r>
          </w:p>
        </w:tc>
        <w:tc>
          <w:tcPr>
            <w:tcW w:w="284" w:type="dxa"/>
            <w:tcBorders>
              <w:top w:val="single" w:sz="4" w:space="0" w:color="auto"/>
              <w:left w:val="nil"/>
              <w:right w:val="nil"/>
            </w:tcBorders>
            <w:vAlign w:val="bottom"/>
          </w:tcPr>
          <w:p w14:paraId="3931B36B" w14:textId="77777777" w:rsidR="00586E8D" w:rsidRPr="005D1ED8" w:rsidRDefault="00586E8D" w:rsidP="005D1ED8">
            <w:pPr>
              <w:tabs>
                <w:tab w:val="decimal" w:pos="965"/>
              </w:tabs>
              <w:ind w:left="144" w:hanging="144"/>
              <w:jc w:val="right"/>
              <w:rPr>
                <w:b/>
                <w:sz w:val="20"/>
              </w:rPr>
            </w:pPr>
          </w:p>
        </w:tc>
        <w:tc>
          <w:tcPr>
            <w:tcW w:w="1417" w:type="dxa"/>
            <w:tcBorders>
              <w:top w:val="single" w:sz="4" w:space="0" w:color="auto"/>
              <w:left w:val="nil"/>
              <w:right w:val="nil"/>
            </w:tcBorders>
            <w:shd w:val="clear" w:color="auto" w:fill="auto"/>
            <w:noWrap/>
            <w:vAlign w:val="bottom"/>
          </w:tcPr>
          <w:p w14:paraId="42BCEB82" w14:textId="15233BAF" w:rsidR="00586E8D" w:rsidRPr="005D1ED8" w:rsidRDefault="00B8731D" w:rsidP="005D1ED8">
            <w:pPr>
              <w:tabs>
                <w:tab w:val="decimal" w:pos="965"/>
              </w:tabs>
              <w:ind w:left="144" w:hanging="144"/>
              <w:jc w:val="right"/>
              <w:rPr>
                <w:b/>
                <w:sz w:val="20"/>
              </w:rPr>
            </w:pPr>
            <w:r>
              <w:rPr>
                <w:b/>
                <w:spacing w:val="-2"/>
                <w:sz w:val="20"/>
              </w:rPr>
              <w:t>14,887,023</w:t>
            </w:r>
          </w:p>
        </w:tc>
      </w:tr>
      <w:tr w:rsidR="00F1629D" w:rsidRPr="000206BE" w14:paraId="3F80CC6D" w14:textId="77777777" w:rsidTr="00C57554">
        <w:trPr>
          <w:trHeight w:val="288"/>
        </w:trPr>
        <w:tc>
          <w:tcPr>
            <w:tcW w:w="4590" w:type="dxa"/>
            <w:tcBorders>
              <w:left w:val="nil"/>
              <w:right w:val="nil"/>
            </w:tcBorders>
            <w:shd w:val="clear" w:color="auto" w:fill="auto"/>
            <w:noWrap/>
            <w:vAlign w:val="bottom"/>
          </w:tcPr>
          <w:p w14:paraId="36C198D5" w14:textId="3A1AC0E2" w:rsidR="00F1629D" w:rsidRPr="000206BE" w:rsidRDefault="00F1629D" w:rsidP="00C178CC">
            <w:pPr>
              <w:ind w:left="144" w:hanging="144"/>
              <w:rPr>
                <w:sz w:val="20"/>
              </w:rPr>
            </w:pPr>
            <w:r w:rsidRPr="000206BE">
              <w:rPr>
                <w:sz w:val="20"/>
              </w:rPr>
              <w:t xml:space="preserve">Net </w:t>
            </w:r>
            <w:r w:rsidR="00B8731D">
              <w:rPr>
                <w:sz w:val="20"/>
              </w:rPr>
              <w:t>income</w:t>
            </w:r>
            <w:r w:rsidRPr="000206BE">
              <w:rPr>
                <w:sz w:val="20"/>
              </w:rPr>
              <w:t xml:space="preserve"> and comprehensive </w:t>
            </w:r>
            <w:r w:rsidR="00B8731D">
              <w:rPr>
                <w:sz w:val="20"/>
              </w:rPr>
              <w:t>income</w:t>
            </w:r>
            <w:r w:rsidR="00552D9B">
              <w:rPr>
                <w:sz w:val="20"/>
              </w:rPr>
              <w:t xml:space="preserve"> for the period</w:t>
            </w:r>
          </w:p>
        </w:tc>
        <w:tc>
          <w:tcPr>
            <w:tcW w:w="360" w:type="dxa"/>
            <w:tcBorders>
              <w:left w:val="nil"/>
              <w:right w:val="nil"/>
            </w:tcBorders>
          </w:tcPr>
          <w:p w14:paraId="3C10F01B" w14:textId="77777777" w:rsidR="00F1629D" w:rsidRPr="000206BE" w:rsidRDefault="00F1629D" w:rsidP="00C178CC">
            <w:pPr>
              <w:tabs>
                <w:tab w:val="decimal" w:pos="1152"/>
              </w:tabs>
              <w:ind w:left="-108"/>
              <w:jc w:val="right"/>
              <w:rPr>
                <w:sz w:val="20"/>
              </w:rPr>
            </w:pPr>
          </w:p>
        </w:tc>
        <w:tc>
          <w:tcPr>
            <w:tcW w:w="1470" w:type="dxa"/>
            <w:tcBorders>
              <w:left w:val="nil"/>
              <w:right w:val="nil"/>
            </w:tcBorders>
            <w:vAlign w:val="bottom"/>
          </w:tcPr>
          <w:p w14:paraId="70D815A5" w14:textId="77777777" w:rsidR="00F1629D" w:rsidRPr="000206BE" w:rsidRDefault="00F1629D" w:rsidP="00C178CC">
            <w:pPr>
              <w:tabs>
                <w:tab w:val="decimal" w:pos="1152"/>
              </w:tabs>
              <w:ind w:left="-108"/>
              <w:jc w:val="right"/>
              <w:rPr>
                <w:spacing w:val="-2"/>
                <w:sz w:val="20"/>
              </w:rPr>
            </w:pPr>
            <w:r w:rsidRPr="000206BE">
              <w:rPr>
                <w:spacing w:val="-2"/>
                <w:sz w:val="20"/>
              </w:rPr>
              <w:t>-</w:t>
            </w:r>
          </w:p>
        </w:tc>
        <w:tc>
          <w:tcPr>
            <w:tcW w:w="252" w:type="dxa"/>
            <w:gridSpan w:val="2"/>
            <w:tcBorders>
              <w:left w:val="nil"/>
              <w:right w:val="nil"/>
            </w:tcBorders>
            <w:vAlign w:val="bottom"/>
          </w:tcPr>
          <w:p w14:paraId="2CC352FA" w14:textId="77777777" w:rsidR="00F1629D" w:rsidRPr="000206BE" w:rsidRDefault="00F1629D" w:rsidP="00C178CC">
            <w:pPr>
              <w:jc w:val="right"/>
              <w:rPr>
                <w:bCs/>
                <w:sz w:val="20"/>
                <w:highlight w:val="yellow"/>
              </w:rPr>
            </w:pPr>
          </w:p>
        </w:tc>
        <w:tc>
          <w:tcPr>
            <w:tcW w:w="1262" w:type="dxa"/>
            <w:tcBorders>
              <w:left w:val="nil"/>
              <w:right w:val="nil"/>
            </w:tcBorders>
            <w:shd w:val="clear" w:color="auto" w:fill="auto"/>
            <w:noWrap/>
            <w:vAlign w:val="bottom"/>
          </w:tcPr>
          <w:p w14:paraId="5C531A5C" w14:textId="77777777" w:rsidR="00F1629D" w:rsidRPr="000206BE" w:rsidRDefault="00F1629D" w:rsidP="00C178CC">
            <w:pPr>
              <w:tabs>
                <w:tab w:val="decimal" w:pos="916"/>
              </w:tabs>
              <w:ind w:left="-108"/>
              <w:jc w:val="right"/>
              <w:rPr>
                <w:spacing w:val="-2"/>
                <w:sz w:val="20"/>
              </w:rPr>
            </w:pPr>
            <w:r w:rsidRPr="000206BE">
              <w:rPr>
                <w:spacing w:val="-2"/>
                <w:sz w:val="20"/>
              </w:rPr>
              <w:t>-</w:t>
            </w:r>
          </w:p>
        </w:tc>
        <w:tc>
          <w:tcPr>
            <w:tcW w:w="288" w:type="dxa"/>
            <w:tcBorders>
              <w:left w:val="nil"/>
              <w:right w:val="nil"/>
            </w:tcBorders>
            <w:vAlign w:val="bottom"/>
          </w:tcPr>
          <w:p w14:paraId="7B271795" w14:textId="57B9D5E9" w:rsidR="00F1629D" w:rsidRPr="000206BE" w:rsidRDefault="00F1629D" w:rsidP="00C178CC">
            <w:pPr>
              <w:jc w:val="right"/>
              <w:rPr>
                <w:spacing w:val="-2"/>
                <w:sz w:val="20"/>
                <w:highlight w:val="yellow"/>
              </w:rPr>
            </w:pPr>
          </w:p>
        </w:tc>
        <w:tc>
          <w:tcPr>
            <w:tcW w:w="283" w:type="dxa"/>
            <w:tcBorders>
              <w:left w:val="nil"/>
              <w:right w:val="nil"/>
            </w:tcBorders>
            <w:vAlign w:val="bottom"/>
          </w:tcPr>
          <w:p w14:paraId="25C09901" w14:textId="77777777" w:rsidR="00F1629D" w:rsidRPr="000206BE" w:rsidRDefault="00F1629D" w:rsidP="00C178CC">
            <w:pPr>
              <w:jc w:val="right"/>
              <w:rPr>
                <w:spacing w:val="-2"/>
                <w:sz w:val="20"/>
                <w:highlight w:val="yellow"/>
              </w:rPr>
            </w:pPr>
          </w:p>
        </w:tc>
        <w:tc>
          <w:tcPr>
            <w:tcW w:w="1276" w:type="dxa"/>
            <w:tcBorders>
              <w:left w:val="nil"/>
              <w:right w:val="nil"/>
            </w:tcBorders>
            <w:shd w:val="clear" w:color="auto" w:fill="auto"/>
            <w:noWrap/>
            <w:vAlign w:val="bottom"/>
          </w:tcPr>
          <w:p w14:paraId="68BA882A" w14:textId="77777777" w:rsidR="00F1629D" w:rsidRPr="000206BE" w:rsidRDefault="00F1629D" w:rsidP="00C178CC">
            <w:pPr>
              <w:tabs>
                <w:tab w:val="decimal" w:pos="827"/>
              </w:tabs>
              <w:ind w:left="-104"/>
              <w:jc w:val="right"/>
              <w:rPr>
                <w:spacing w:val="-2"/>
                <w:sz w:val="20"/>
              </w:rPr>
            </w:pPr>
            <w:r w:rsidRPr="000206BE">
              <w:rPr>
                <w:spacing w:val="-2"/>
                <w:sz w:val="20"/>
              </w:rPr>
              <w:t>-</w:t>
            </w:r>
          </w:p>
        </w:tc>
        <w:tc>
          <w:tcPr>
            <w:tcW w:w="284" w:type="dxa"/>
            <w:tcBorders>
              <w:left w:val="nil"/>
              <w:right w:val="nil"/>
            </w:tcBorders>
            <w:vAlign w:val="bottom"/>
          </w:tcPr>
          <w:p w14:paraId="57069410" w14:textId="77777777" w:rsidR="00F1629D" w:rsidRPr="000206BE" w:rsidRDefault="00F1629D" w:rsidP="00C178CC">
            <w:pPr>
              <w:jc w:val="right"/>
              <w:rPr>
                <w:spacing w:val="-2"/>
                <w:sz w:val="20"/>
                <w:highlight w:val="yellow"/>
              </w:rPr>
            </w:pPr>
          </w:p>
        </w:tc>
        <w:tc>
          <w:tcPr>
            <w:tcW w:w="1417" w:type="dxa"/>
            <w:tcBorders>
              <w:left w:val="nil"/>
              <w:right w:val="nil"/>
            </w:tcBorders>
            <w:shd w:val="clear" w:color="auto" w:fill="auto"/>
            <w:noWrap/>
            <w:vAlign w:val="bottom"/>
          </w:tcPr>
          <w:p w14:paraId="326B1DBA" w14:textId="35D7E6AF" w:rsidR="00F1629D" w:rsidRPr="000206BE" w:rsidRDefault="00552D9B" w:rsidP="00C178CC">
            <w:pPr>
              <w:tabs>
                <w:tab w:val="decimal" w:pos="899"/>
              </w:tabs>
              <w:ind w:left="-118"/>
              <w:jc w:val="right"/>
              <w:rPr>
                <w:spacing w:val="-2"/>
                <w:sz w:val="20"/>
              </w:rPr>
            </w:pPr>
            <w:r>
              <w:rPr>
                <w:spacing w:val="-2"/>
                <w:sz w:val="20"/>
              </w:rPr>
              <w:t>234,543</w:t>
            </w:r>
          </w:p>
        </w:tc>
        <w:tc>
          <w:tcPr>
            <w:tcW w:w="284" w:type="dxa"/>
            <w:tcBorders>
              <w:left w:val="nil"/>
              <w:right w:val="nil"/>
            </w:tcBorders>
            <w:vAlign w:val="bottom"/>
          </w:tcPr>
          <w:p w14:paraId="52604255" w14:textId="77777777" w:rsidR="00F1629D" w:rsidRPr="000206BE" w:rsidRDefault="00F1629D" w:rsidP="00C178CC">
            <w:pPr>
              <w:tabs>
                <w:tab w:val="decimal" w:pos="965"/>
              </w:tabs>
              <w:jc w:val="right"/>
              <w:rPr>
                <w:spacing w:val="-2"/>
                <w:sz w:val="20"/>
              </w:rPr>
            </w:pPr>
          </w:p>
        </w:tc>
        <w:tc>
          <w:tcPr>
            <w:tcW w:w="1417" w:type="dxa"/>
            <w:tcBorders>
              <w:left w:val="nil"/>
              <w:right w:val="nil"/>
            </w:tcBorders>
            <w:shd w:val="clear" w:color="auto" w:fill="auto"/>
            <w:noWrap/>
            <w:vAlign w:val="bottom"/>
          </w:tcPr>
          <w:p w14:paraId="51DDA7F2" w14:textId="7F74E0AD" w:rsidR="00F1629D" w:rsidRPr="000206BE" w:rsidRDefault="00552D9B" w:rsidP="00C178CC">
            <w:pPr>
              <w:tabs>
                <w:tab w:val="decimal" w:pos="965"/>
              </w:tabs>
              <w:ind w:left="-164"/>
              <w:jc w:val="right"/>
              <w:rPr>
                <w:spacing w:val="-2"/>
                <w:sz w:val="20"/>
              </w:rPr>
            </w:pPr>
            <w:r>
              <w:rPr>
                <w:spacing w:val="-2"/>
                <w:sz w:val="20"/>
              </w:rPr>
              <w:t>234,543</w:t>
            </w:r>
          </w:p>
        </w:tc>
      </w:tr>
      <w:tr w:rsidR="00B8731D" w:rsidRPr="005D1ED8" w14:paraId="183FAE31" w14:textId="77777777" w:rsidTr="00C57554">
        <w:trPr>
          <w:trHeight w:val="360"/>
        </w:trPr>
        <w:tc>
          <w:tcPr>
            <w:tcW w:w="4590" w:type="dxa"/>
            <w:tcBorders>
              <w:top w:val="single" w:sz="2" w:space="0" w:color="auto"/>
              <w:left w:val="nil"/>
              <w:bottom w:val="double" w:sz="4" w:space="0" w:color="auto"/>
              <w:right w:val="nil"/>
            </w:tcBorders>
            <w:shd w:val="clear" w:color="auto" w:fill="auto"/>
            <w:noWrap/>
            <w:vAlign w:val="bottom"/>
          </w:tcPr>
          <w:p w14:paraId="5C77BF8C" w14:textId="61E779A4" w:rsidR="00B8731D" w:rsidRPr="005D1ED8" w:rsidRDefault="00B8731D" w:rsidP="00140712">
            <w:pPr>
              <w:ind w:left="144" w:hanging="144"/>
              <w:rPr>
                <w:b/>
                <w:sz w:val="20"/>
              </w:rPr>
            </w:pPr>
            <w:r w:rsidRPr="005D1ED8">
              <w:rPr>
                <w:b/>
                <w:sz w:val="20"/>
              </w:rPr>
              <w:t xml:space="preserve">Balance – </w:t>
            </w:r>
            <w:r>
              <w:rPr>
                <w:b/>
                <w:sz w:val="20"/>
              </w:rPr>
              <w:t>June 30</w:t>
            </w:r>
            <w:r w:rsidRPr="005D1ED8">
              <w:rPr>
                <w:b/>
                <w:sz w:val="20"/>
              </w:rPr>
              <w:t>, 20</w:t>
            </w:r>
            <w:r w:rsidR="00552D9B">
              <w:rPr>
                <w:b/>
                <w:sz w:val="20"/>
              </w:rPr>
              <w:t>19</w:t>
            </w:r>
          </w:p>
        </w:tc>
        <w:tc>
          <w:tcPr>
            <w:tcW w:w="360" w:type="dxa"/>
            <w:tcBorders>
              <w:top w:val="single" w:sz="2" w:space="0" w:color="auto"/>
              <w:left w:val="nil"/>
              <w:bottom w:val="double" w:sz="4" w:space="0" w:color="auto"/>
              <w:right w:val="nil"/>
            </w:tcBorders>
          </w:tcPr>
          <w:p w14:paraId="78FC4987" w14:textId="77777777" w:rsidR="00B8731D" w:rsidRPr="005D1ED8" w:rsidRDefault="00B8731D" w:rsidP="00140712">
            <w:pPr>
              <w:tabs>
                <w:tab w:val="decimal" w:pos="1152"/>
              </w:tabs>
              <w:ind w:left="144" w:hanging="144"/>
              <w:jc w:val="right"/>
              <w:rPr>
                <w:b/>
                <w:sz w:val="20"/>
              </w:rPr>
            </w:pPr>
          </w:p>
        </w:tc>
        <w:tc>
          <w:tcPr>
            <w:tcW w:w="1470" w:type="dxa"/>
            <w:tcBorders>
              <w:top w:val="single" w:sz="2" w:space="0" w:color="auto"/>
              <w:left w:val="nil"/>
              <w:bottom w:val="double" w:sz="4" w:space="0" w:color="auto"/>
              <w:right w:val="nil"/>
            </w:tcBorders>
            <w:shd w:val="clear" w:color="auto" w:fill="auto"/>
            <w:vAlign w:val="bottom"/>
          </w:tcPr>
          <w:p w14:paraId="019DC0EC" w14:textId="43111563" w:rsidR="00B8731D" w:rsidRPr="005D1ED8" w:rsidRDefault="00B8731D" w:rsidP="00140712">
            <w:pPr>
              <w:tabs>
                <w:tab w:val="decimal" w:pos="1152"/>
              </w:tabs>
              <w:ind w:left="144" w:hanging="144"/>
              <w:jc w:val="right"/>
              <w:rPr>
                <w:b/>
                <w:sz w:val="20"/>
              </w:rPr>
            </w:pPr>
            <w:r>
              <w:rPr>
                <w:b/>
                <w:sz w:val="20"/>
              </w:rPr>
              <w:t>96,530,640</w:t>
            </w:r>
          </w:p>
        </w:tc>
        <w:tc>
          <w:tcPr>
            <w:tcW w:w="252" w:type="dxa"/>
            <w:gridSpan w:val="2"/>
            <w:tcBorders>
              <w:top w:val="single" w:sz="2" w:space="0" w:color="auto"/>
              <w:left w:val="nil"/>
              <w:bottom w:val="double" w:sz="4" w:space="0" w:color="auto"/>
              <w:right w:val="nil"/>
            </w:tcBorders>
            <w:shd w:val="clear" w:color="auto" w:fill="auto"/>
            <w:vAlign w:val="bottom"/>
          </w:tcPr>
          <w:p w14:paraId="1BFEE166" w14:textId="77777777" w:rsidR="00B8731D" w:rsidRPr="005D1ED8" w:rsidRDefault="00B8731D" w:rsidP="00140712">
            <w:pPr>
              <w:ind w:left="144" w:hanging="144"/>
              <w:jc w:val="right"/>
              <w:rPr>
                <w:b/>
                <w:sz w:val="20"/>
              </w:rPr>
            </w:pPr>
          </w:p>
        </w:tc>
        <w:tc>
          <w:tcPr>
            <w:tcW w:w="1262" w:type="dxa"/>
            <w:tcBorders>
              <w:top w:val="single" w:sz="2" w:space="0" w:color="auto"/>
              <w:left w:val="nil"/>
              <w:bottom w:val="double" w:sz="4" w:space="0" w:color="auto"/>
              <w:right w:val="nil"/>
            </w:tcBorders>
            <w:shd w:val="clear" w:color="auto" w:fill="auto"/>
            <w:noWrap/>
            <w:vAlign w:val="bottom"/>
          </w:tcPr>
          <w:p w14:paraId="1C19BA5C" w14:textId="2C7717B3" w:rsidR="00B8731D" w:rsidRPr="005D1ED8" w:rsidRDefault="00B8731D" w:rsidP="00140712">
            <w:pPr>
              <w:tabs>
                <w:tab w:val="decimal" w:pos="916"/>
              </w:tabs>
              <w:ind w:left="144" w:hanging="144"/>
              <w:jc w:val="right"/>
              <w:rPr>
                <w:b/>
                <w:sz w:val="20"/>
              </w:rPr>
            </w:pPr>
            <w:r>
              <w:rPr>
                <w:b/>
                <w:sz w:val="20"/>
              </w:rPr>
              <w:t>33,974,141</w:t>
            </w:r>
          </w:p>
        </w:tc>
        <w:tc>
          <w:tcPr>
            <w:tcW w:w="288" w:type="dxa"/>
            <w:tcBorders>
              <w:top w:val="single" w:sz="2" w:space="0" w:color="auto"/>
              <w:left w:val="nil"/>
              <w:bottom w:val="double" w:sz="4" w:space="0" w:color="auto"/>
              <w:right w:val="nil"/>
            </w:tcBorders>
            <w:shd w:val="clear" w:color="auto" w:fill="auto"/>
            <w:vAlign w:val="bottom"/>
          </w:tcPr>
          <w:p w14:paraId="220F1229" w14:textId="0F503C0A" w:rsidR="00B8731D" w:rsidRPr="005D1ED8" w:rsidRDefault="00B8731D" w:rsidP="00140712">
            <w:pPr>
              <w:ind w:left="144" w:hanging="144"/>
              <w:jc w:val="right"/>
              <w:rPr>
                <w:b/>
                <w:sz w:val="20"/>
              </w:rPr>
            </w:pPr>
          </w:p>
        </w:tc>
        <w:tc>
          <w:tcPr>
            <w:tcW w:w="283" w:type="dxa"/>
            <w:tcBorders>
              <w:top w:val="single" w:sz="2" w:space="0" w:color="auto"/>
              <w:left w:val="nil"/>
              <w:bottom w:val="double" w:sz="4" w:space="0" w:color="auto"/>
              <w:right w:val="nil"/>
            </w:tcBorders>
            <w:shd w:val="clear" w:color="auto" w:fill="auto"/>
            <w:vAlign w:val="bottom"/>
          </w:tcPr>
          <w:p w14:paraId="3738699A" w14:textId="77777777" w:rsidR="00B8731D" w:rsidRPr="005D1ED8" w:rsidRDefault="00B8731D" w:rsidP="00140712">
            <w:pPr>
              <w:ind w:left="144" w:hanging="144"/>
              <w:jc w:val="right"/>
              <w:rPr>
                <w:b/>
                <w:sz w:val="20"/>
              </w:rPr>
            </w:pPr>
          </w:p>
        </w:tc>
        <w:tc>
          <w:tcPr>
            <w:tcW w:w="1276" w:type="dxa"/>
            <w:tcBorders>
              <w:top w:val="single" w:sz="2" w:space="0" w:color="auto"/>
              <w:left w:val="nil"/>
              <w:bottom w:val="double" w:sz="4" w:space="0" w:color="auto"/>
              <w:right w:val="nil"/>
            </w:tcBorders>
            <w:shd w:val="clear" w:color="auto" w:fill="auto"/>
            <w:noWrap/>
            <w:vAlign w:val="bottom"/>
          </w:tcPr>
          <w:p w14:paraId="0A380BB5" w14:textId="686A1844" w:rsidR="00B8731D" w:rsidRPr="005D1ED8" w:rsidRDefault="00B8731D" w:rsidP="00140712">
            <w:pPr>
              <w:tabs>
                <w:tab w:val="decimal" w:pos="827"/>
              </w:tabs>
              <w:ind w:left="144" w:hanging="144"/>
              <w:jc w:val="right"/>
              <w:rPr>
                <w:b/>
                <w:sz w:val="20"/>
              </w:rPr>
            </w:pPr>
            <w:r>
              <w:rPr>
                <w:b/>
                <w:sz w:val="20"/>
              </w:rPr>
              <w:t>3,088,214</w:t>
            </w:r>
          </w:p>
        </w:tc>
        <w:tc>
          <w:tcPr>
            <w:tcW w:w="284" w:type="dxa"/>
            <w:tcBorders>
              <w:top w:val="single" w:sz="2" w:space="0" w:color="auto"/>
              <w:left w:val="nil"/>
              <w:bottom w:val="double" w:sz="4" w:space="0" w:color="auto"/>
              <w:right w:val="nil"/>
            </w:tcBorders>
            <w:shd w:val="clear" w:color="auto" w:fill="auto"/>
            <w:vAlign w:val="bottom"/>
          </w:tcPr>
          <w:p w14:paraId="2325D6F4" w14:textId="77777777" w:rsidR="00B8731D" w:rsidRPr="005D1ED8" w:rsidRDefault="00B8731D" w:rsidP="00140712">
            <w:pPr>
              <w:ind w:left="144" w:hanging="144"/>
              <w:jc w:val="right"/>
              <w:rPr>
                <w:b/>
                <w:sz w:val="20"/>
              </w:rPr>
            </w:pPr>
          </w:p>
        </w:tc>
        <w:tc>
          <w:tcPr>
            <w:tcW w:w="1417" w:type="dxa"/>
            <w:tcBorders>
              <w:top w:val="single" w:sz="2" w:space="0" w:color="auto"/>
              <w:left w:val="nil"/>
              <w:bottom w:val="double" w:sz="4" w:space="0" w:color="auto"/>
              <w:right w:val="nil"/>
            </w:tcBorders>
            <w:shd w:val="clear" w:color="auto" w:fill="auto"/>
            <w:noWrap/>
            <w:vAlign w:val="bottom"/>
          </w:tcPr>
          <w:p w14:paraId="7DB40AF4" w14:textId="55841EED" w:rsidR="00B8731D" w:rsidRPr="005D1ED8" w:rsidRDefault="00B8731D" w:rsidP="00140712">
            <w:pPr>
              <w:tabs>
                <w:tab w:val="decimal" w:pos="827"/>
              </w:tabs>
              <w:ind w:left="144" w:hanging="144"/>
              <w:jc w:val="right"/>
              <w:rPr>
                <w:b/>
                <w:sz w:val="20"/>
              </w:rPr>
            </w:pPr>
            <w:r>
              <w:rPr>
                <w:b/>
                <w:sz w:val="20"/>
              </w:rPr>
              <w:t>(21,940,789)</w:t>
            </w:r>
          </w:p>
        </w:tc>
        <w:tc>
          <w:tcPr>
            <w:tcW w:w="284" w:type="dxa"/>
            <w:tcBorders>
              <w:top w:val="single" w:sz="2" w:space="0" w:color="auto"/>
              <w:left w:val="nil"/>
              <w:bottom w:val="double" w:sz="4" w:space="0" w:color="auto"/>
              <w:right w:val="nil"/>
            </w:tcBorders>
            <w:shd w:val="clear" w:color="auto" w:fill="auto"/>
            <w:vAlign w:val="bottom"/>
          </w:tcPr>
          <w:p w14:paraId="7F153B4E" w14:textId="77777777" w:rsidR="00B8731D" w:rsidRPr="005D1ED8" w:rsidRDefault="00B8731D" w:rsidP="00140712">
            <w:pPr>
              <w:ind w:left="144" w:hanging="144"/>
              <w:jc w:val="right"/>
              <w:rPr>
                <w:b/>
                <w:sz w:val="20"/>
              </w:rPr>
            </w:pPr>
          </w:p>
        </w:tc>
        <w:tc>
          <w:tcPr>
            <w:tcW w:w="1417" w:type="dxa"/>
            <w:tcBorders>
              <w:top w:val="single" w:sz="2" w:space="0" w:color="auto"/>
              <w:left w:val="nil"/>
              <w:bottom w:val="double" w:sz="4" w:space="0" w:color="auto"/>
              <w:right w:val="nil"/>
            </w:tcBorders>
            <w:shd w:val="clear" w:color="auto" w:fill="auto"/>
            <w:noWrap/>
            <w:vAlign w:val="bottom"/>
          </w:tcPr>
          <w:p w14:paraId="6C912B86" w14:textId="59A6C7D8" w:rsidR="00B8731D" w:rsidRPr="005D1ED8" w:rsidRDefault="00B8731D" w:rsidP="00140712">
            <w:pPr>
              <w:tabs>
                <w:tab w:val="decimal" w:pos="965"/>
              </w:tabs>
              <w:ind w:left="144" w:hanging="144"/>
              <w:jc w:val="right"/>
              <w:rPr>
                <w:b/>
                <w:sz w:val="20"/>
              </w:rPr>
            </w:pPr>
            <w:r>
              <w:rPr>
                <w:b/>
                <w:sz w:val="20"/>
              </w:rPr>
              <w:t>15,121,566</w:t>
            </w:r>
          </w:p>
        </w:tc>
      </w:tr>
      <w:tr w:rsidR="00B8731D" w:rsidRPr="000206BE" w14:paraId="7BE9493D" w14:textId="77777777" w:rsidTr="00C57554">
        <w:trPr>
          <w:trHeight w:val="288"/>
        </w:trPr>
        <w:tc>
          <w:tcPr>
            <w:tcW w:w="4590" w:type="dxa"/>
            <w:tcBorders>
              <w:left w:val="nil"/>
              <w:right w:val="nil"/>
            </w:tcBorders>
            <w:shd w:val="clear" w:color="auto" w:fill="auto"/>
            <w:noWrap/>
            <w:vAlign w:val="bottom"/>
          </w:tcPr>
          <w:p w14:paraId="0C96B0B6" w14:textId="77777777" w:rsidR="00B8731D" w:rsidRPr="000206BE" w:rsidRDefault="00B8731D" w:rsidP="00C178CC">
            <w:pPr>
              <w:ind w:left="144" w:hanging="144"/>
              <w:rPr>
                <w:sz w:val="20"/>
              </w:rPr>
            </w:pPr>
          </w:p>
        </w:tc>
        <w:tc>
          <w:tcPr>
            <w:tcW w:w="360" w:type="dxa"/>
            <w:tcBorders>
              <w:left w:val="nil"/>
              <w:right w:val="nil"/>
            </w:tcBorders>
          </w:tcPr>
          <w:p w14:paraId="0C05E866" w14:textId="77777777" w:rsidR="00B8731D" w:rsidRPr="000206BE" w:rsidRDefault="00B8731D" w:rsidP="00C178CC">
            <w:pPr>
              <w:tabs>
                <w:tab w:val="decimal" w:pos="1152"/>
              </w:tabs>
              <w:ind w:left="-108"/>
              <w:jc w:val="right"/>
              <w:rPr>
                <w:sz w:val="20"/>
              </w:rPr>
            </w:pPr>
          </w:p>
        </w:tc>
        <w:tc>
          <w:tcPr>
            <w:tcW w:w="1470" w:type="dxa"/>
            <w:tcBorders>
              <w:left w:val="nil"/>
              <w:right w:val="nil"/>
            </w:tcBorders>
            <w:vAlign w:val="bottom"/>
          </w:tcPr>
          <w:p w14:paraId="59B13FF5" w14:textId="77777777" w:rsidR="00B8731D" w:rsidRPr="000206BE" w:rsidRDefault="00B8731D" w:rsidP="00C178CC">
            <w:pPr>
              <w:tabs>
                <w:tab w:val="decimal" w:pos="1152"/>
              </w:tabs>
              <w:ind w:left="-108"/>
              <w:jc w:val="right"/>
              <w:rPr>
                <w:spacing w:val="-2"/>
                <w:sz w:val="20"/>
              </w:rPr>
            </w:pPr>
          </w:p>
        </w:tc>
        <w:tc>
          <w:tcPr>
            <w:tcW w:w="252" w:type="dxa"/>
            <w:gridSpan w:val="2"/>
            <w:tcBorders>
              <w:left w:val="nil"/>
              <w:right w:val="nil"/>
            </w:tcBorders>
            <w:vAlign w:val="bottom"/>
          </w:tcPr>
          <w:p w14:paraId="7FEF8EF7" w14:textId="77777777" w:rsidR="00B8731D" w:rsidRPr="000206BE" w:rsidRDefault="00B8731D" w:rsidP="00C178CC">
            <w:pPr>
              <w:jc w:val="right"/>
              <w:rPr>
                <w:bCs/>
                <w:sz w:val="20"/>
                <w:highlight w:val="yellow"/>
              </w:rPr>
            </w:pPr>
          </w:p>
        </w:tc>
        <w:tc>
          <w:tcPr>
            <w:tcW w:w="1262" w:type="dxa"/>
            <w:tcBorders>
              <w:left w:val="nil"/>
              <w:right w:val="nil"/>
            </w:tcBorders>
            <w:shd w:val="clear" w:color="auto" w:fill="auto"/>
            <w:noWrap/>
            <w:vAlign w:val="bottom"/>
          </w:tcPr>
          <w:p w14:paraId="244C8854" w14:textId="77777777" w:rsidR="00B8731D" w:rsidRPr="000206BE" w:rsidRDefault="00B8731D" w:rsidP="00C178CC">
            <w:pPr>
              <w:tabs>
                <w:tab w:val="decimal" w:pos="916"/>
              </w:tabs>
              <w:ind w:left="-108"/>
              <w:jc w:val="right"/>
              <w:rPr>
                <w:spacing w:val="-2"/>
                <w:sz w:val="20"/>
              </w:rPr>
            </w:pPr>
          </w:p>
        </w:tc>
        <w:tc>
          <w:tcPr>
            <w:tcW w:w="288" w:type="dxa"/>
            <w:tcBorders>
              <w:left w:val="nil"/>
              <w:right w:val="nil"/>
            </w:tcBorders>
            <w:vAlign w:val="bottom"/>
          </w:tcPr>
          <w:p w14:paraId="2716B5E4" w14:textId="77777777" w:rsidR="00B8731D" w:rsidRPr="000206BE" w:rsidRDefault="00B8731D" w:rsidP="00C178CC">
            <w:pPr>
              <w:jc w:val="right"/>
              <w:rPr>
                <w:spacing w:val="-2"/>
                <w:sz w:val="20"/>
              </w:rPr>
            </w:pPr>
          </w:p>
        </w:tc>
        <w:tc>
          <w:tcPr>
            <w:tcW w:w="283" w:type="dxa"/>
            <w:tcBorders>
              <w:left w:val="nil"/>
              <w:right w:val="nil"/>
            </w:tcBorders>
            <w:vAlign w:val="bottom"/>
          </w:tcPr>
          <w:p w14:paraId="2D4CA839" w14:textId="77777777" w:rsidR="00B8731D" w:rsidRPr="000206BE" w:rsidRDefault="00B8731D" w:rsidP="00C178CC">
            <w:pPr>
              <w:jc w:val="right"/>
              <w:rPr>
                <w:spacing w:val="-2"/>
                <w:sz w:val="20"/>
                <w:highlight w:val="yellow"/>
              </w:rPr>
            </w:pPr>
          </w:p>
        </w:tc>
        <w:tc>
          <w:tcPr>
            <w:tcW w:w="1276" w:type="dxa"/>
            <w:tcBorders>
              <w:left w:val="nil"/>
              <w:right w:val="nil"/>
            </w:tcBorders>
            <w:shd w:val="clear" w:color="auto" w:fill="auto"/>
            <w:noWrap/>
            <w:vAlign w:val="bottom"/>
          </w:tcPr>
          <w:p w14:paraId="70DE559E" w14:textId="77777777" w:rsidR="00B8731D" w:rsidRPr="000206BE" w:rsidRDefault="00B8731D" w:rsidP="00C178CC">
            <w:pPr>
              <w:tabs>
                <w:tab w:val="decimal" w:pos="827"/>
              </w:tabs>
              <w:ind w:left="-104"/>
              <w:jc w:val="right"/>
              <w:rPr>
                <w:spacing w:val="-2"/>
                <w:sz w:val="20"/>
              </w:rPr>
            </w:pPr>
          </w:p>
        </w:tc>
        <w:tc>
          <w:tcPr>
            <w:tcW w:w="284" w:type="dxa"/>
            <w:tcBorders>
              <w:left w:val="nil"/>
              <w:right w:val="nil"/>
            </w:tcBorders>
            <w:vAlign w:val="bottom"/>
          </w:tcPr>
          <w:p w14:paraId="1C87701B" w14:textId="77777777" w:rsidR="00B8731D" w:rsidRPr="000206BE" w:rsidRDefault="00B8731D" w:rsidP="00C178CC">
            <w:pPr>
              <w:jc w:val="right"/>
              <w:rPr>
                <w:spacing w:val="-2"/>
                <w:sz w:val="20"/>
                <w:highlight w:val="yellow"/>
              </w:rPr>
            </w:pPr>
          </w:p>
        </w:tc>
        <w:tc>
          <w:tcPr>
            <w:tcW w:w="1417" w:type="dxa"/>
            <w:tcBorders>
              <w:left w:val="nil"/>
              <w:right w:val="nil"/>
            </w:tcBorders>
            <w:shd w:val="clear" w:color="auto" w:fill="auto"/>
            <w:noWrap/>
            <w:vAlign w:val="bottom"/>
          </w:tcPr>
          <w:p w14:paraId="12E49041" w14:textId="77777777" w:rsidR="00B8731D" w:rsidRDefault="00B8731D" w:rsidP="00C178CC">
            <w:pPr>
              <w:tabs>
                <w:tab w:val="decimal" w:pos="899"/>
              </w:tabs>
              <w:ind w:left="-118"/>
              <w:jc w:val="right"/>
              <w:rPr>
                <w:spacing w:val="-2"/>
                <w:sz w:val="20"/>
              </w:rPr>
            </w:pPr>
          </w:p>
        </w:tc>
        <w:tc>
          <w:tcPr>
            <w:tcW w:w="284" w:type="dxa"/>
            <w:tcBorders>
              <w:left w:val="nil"/>
              <w:right w:val="nil"/>
            </w:tcBorders>
            <w:vAlign w:val="bottom"/>
          </w:tcPr>
          <w:p w14:paraId="657EDC49" w14:textId="77777777" w:rsidR="00B8731D" w:rsidRPr="000206BE" w:rsidRDefault="00B8731D" w:rsidP="00C178CC">
            <w:pPr>
              <w:tabs>
                <w:tab w:val="decimal" w:pos="965"/>
              </w:tabs>
              <w:jc w:val="right"/>
              <w:rPr>
                <w:spacing w:val="-2"/>
                <w:sz w:val="20"/>
              </w:rPr>
            </w:pPr>
          </w:p>
        </w:tc>
        <w:tc>
          <w:tcPr>
            <w:tcW w:w="1417" w:type="dxa"/>
            <w:tcBorders>
              <w:left w:val="nil"/>
              <w:right w:val="nil"/>
            </w:tcBorders>
            <w:shd w:val="clear" w:color="auto" w:fill="auto"/>
            <w:noWrap/>
            <w:vAlign w:val="bottom"/>
          </w:tcPr>
          <w:p w14:paraId="4ED5D215" w14:textId="77777777" w:rsidR="00B8731D" w:rsidRPr="000206BE" w:rsidRDefault="00B8731D" w:rsidP="00C178CC">
            <w:pPr>
              <w:tabs>
                <w:tab w:val="decimal" w:pos="965"/>
              </w:tabs>
              <w:ind w:left="-164"/>
              <w:jc w:val="right"/>
              <w:rPr>
                <w:spacing w:val="-2"/>
                <w:sz w:val="20"/>
              </w:rPr>
            </w:pPr>
          </w:p>
        </w:tc>
      </w:tr>
      <w:tr w:rsidR="00DA7A18" w:rsidRPr="005D1ED8" w14:paraId="26754F06" w14:textId="77777777" w:rsidTr="00C57554">
        <w:trPr>
          <w:trHeight w:val="288"/>
        </w:trPr>
        <w:tc>
          <w:tcPr>
            <w:tcW w:w="4590" w:type="dxa"/>
            <w:tcBorders>
              <w:top w:val="single" w:sz="4" w:space="0" w:color="auto"/>
              <w:left w:val="nil"/>
              <w:right w:val="nil"/>
            </w:tcBorders>
            <w:shd w:val="clear" w:color="auto" w:fill="auto"/>
            <w:noWrap/>
            <w:vAlign w:val="bottom"/>
          </w:tcPr>
          <w:p w14:paraId="41DE6A9F" w14:textId="59992E20" w:rsidR="00DA7A18" w:rsidRPr="005D1ED8" w:rsidRDefault="00DA7A18" w:rsidP="005D1ED8">
            <w:pPr>
              <w:ind w:left="144" w:hanging="144"/>
              <w:rPr>
                <w:b/>
                <w:sz w:val="20"/>
              </w:rPr>
            </w:pPr>
            <w:r w:rsidRPr="005D1ED8">
              <w:rPr>
                <w:b/>
                <w:sz w:val="20"/>
              </w:rPr>
              <w:t>Balance – March 31, 20</w:t>
            </w:r>
            <w:r w:rsidR="00FD3552">
              <w:rPr>
                <w:b/>
                <w:sz w:val="20"/>
              </w:rPr>
              <w:t>20</w:t>
            </w:r>
          </w:p>
        </w:tc>
        <w:tc>
          <w:tcPr>
            <w:tcW w:w="360" w:type="dxa"/>
            <w:tcBorders>
              <w:top w:val="single" w:sz="4" w:space="0" w:color="auto"/>
              <w:left w:val="nil"/>
              <w:right w:val="nil"/>
            </w:tcBorders>
          </w:tcPr>
          <w:p w14:paraId="0CAD2201" w14:textId="77777777" w:rsidR="00DA7A18" w:rsidRPr="005D1ED8" w:rsidRDefault="00DA7A18" w:rsidP="00DA7A18">
            <w:pPr>
              <w:tabs>
                <w:tab w:val="decimal" w:pos="1152"/>
              </w:tabs>
              <w:ind w:left="-108"/>
              <w:jc w:val="right"/>
              <w:rPr>
                <w:b/>
                <w:spacing w:val="-2"/>
                <w:sz w:val="20"/>
              </w:rPr>
            </w:pPr>
          </w:p>
        </w:tc>
        <w:tc>
          <w:tcPr>
            <w:tcW w:w="1470" w:type="dxa"/>
            <w:tcBorders>
              <w:top w:val="single" w:sz="4" w:space="0" w:color="auto"/>
              <w:left w:val="nil"/>
              <w:right w:val="nil"/>
            </w:tcBorders>
            <w:vAlign w:val="bottom"/>
          </w:tcPr>
          <w:p w14:paraId="68FE400D" w14:textId="29D60385" w:rsidR="00DA7A18" w:rsidRPr="005D1ED8" w:rsidRDefault="00552D9B" w:rsidP="005D1ED8">
            <w:pPr>
              <w:tabs>
                <w:tab w:val="decimal" w:pos="1152"/>
              </w:tabs>
              <w:ind w:left="-108"/>
              <w:jc w:val="right"/>
              <w:rPr>
                <w:b/>
                <w:sz w:val="20"/>
              </w:rPr>
            </w:pPr>
            <w:r>
              <w:rPr>
                <w:b/>
                <w:spacing w:val="-2"/>
                <w:sz w:val="20"/>
              </w:rPr>
              <w:t>102,780,640</w:t>
            </w:r>
          </w:p>
        </w:tc>
        <w:tc>
          <w:tcPr>
            <w:tcW w:w="252" w:type="dxa"/>
            <w:gridSpan w:val="2"/>
            <w:tcBorders>
              <w:top w:val="single" w:sz="4" w:space="0" w:color="auto"/>
              <w:left w:val="nil"/>
              <w:right w:val="nil"/>
            </w:tcBorders>
            <w:vAlign w:val="bottom"/>
          </w:tcPr>
          <w:p w14:paraId="7CEC1BB2" w14:textId="77777777" w:rsidR="00DA7A18" w:rsidRPr="005D1ED8" w:rsidRDefault="00DA7A18" w:rsidP="005D1ED8">
            <w:pPr>
              <w:ind w:left="-108"/>
              <w:jc w:val="right"/>
              <w:rPr>
                <w:b/>
                <w:sz w:val="20"/>
              </w:rPr>
            </w:pPr>
          </w:p>
        </w:tc>
        <w:tc>
          <w:tcPr>
            <w:tcW w:w="1262" w:type="dxa"/>
            <w:tcBorders>
              <w:top w:val="single" w:sz="4" w:space="0" w:color="auto"/>
              <w:left w:val="nil"/>
              <w:right w:val="nil"/>
            </w:tcBorders>
            <w:shd w:val="clear" w:color="auto" w:fill="auto"/>
            <w:noWrap/>
            <w:vAlign w:val="bottom"/>
          </w:tcPr>
          <w:p w14:paraId="08EF67DD" w14:textId="5848FC20" w:rsidR="00DA7A18" w:rsidRPr="005D1ED8" w:rsidRDefault="00552D9B" w:rsidP="005D1ED8">
            <w:pPr>
              <w:tabs>
                <w:tab w:val="decimal" w:pos="916"/>
              </w:tabs>
              <w:ind w:left="-108"/>
              <w:jc w:val="right"/>
              <w:rPr>
                <w:b/>
                <w:sz w:val="20"/>
              </w:rPr>
            </w:pPr>
            <w:r>
              <w:rPr>
                <w:b/>
                <w:spacing w:val="-2"/>
                <w:sz w:val="20"/>
              </w:rPr>
              <w:t>34,855,391</w:t>
            </w:r>
          </w:p>
        </w:tc>
        <w:tc>
          <w:tcPr>
            <w:tcW w:w="288" w:type="dxa"/>
            <w:tcBorders>
              <w:top w:val="single" w:sz="4" w:space="0" w:color="auto"/>
              <w:left w:val="nil"/>
              <w:right w:val="nil"/>
            </w:tcBorders>
            <w:vAlign w:val="bottom"/>
          </w:tcPr>
          <w:p w14:paraId="637047D9" w14:textId="141C10CB" w:rsidR="00DA7A18" w:rsidRPr="005D1ED8" w:rsidRDefault="00DA7A18" w:rsidP="005D1ED8">
            <w:pPr>
              <w:ind w:left="-108"/>
              <w:jc w:val="right"/>
              <w:rPr>
                <w:b/>
                <w:sz w:val="20"/>
              </w:rPr>
            </w:pPr>
          </w:p>
        </w:tc>
        <w:tc>
          <w:tcPr>
            <w:tcW w:w="283" w:type="dxa"/>
            <w:tcBorders>
              <w:top w:val="single" w:sz="4" w:space="0" w:color="auto"/>
              <w:left w:val="nil"/>
              <w:right w:val="nil"/>
            </w:tcBorders>
            <w:vAlign w:val="bottom"/>
          </w:tcPr>
          <w:p w14:paraId="6581435F" w14:textId="77777777" w:rsidR="00DA7A18" w:rsidRPr="005D1ED8" w:rsidRDefault="00DA7A18" w:rsidP="005D1ED8">
            <w:pPr>
              <w:ind w:left="-108"/>
              <w:jc w:val="right"/>
              <w:rPr>
                <w:b/>
                <w:sz w:val="20"/>
              </w:rPr>
            </w:pPr>
          </w:p>
        </w:tc>
        <w:tc>
          <w:tcPr>
            <w:tcW w:w="1276" w:type="dxa"/>
            <w:tcBorders>
              <w:top w:val="single" w:sz="4" w:space="0" w:color="auto"/>
              <w:left w:val="nil"/>
              <w:right w:val="nil"/>
            </w:tcBorders>
            <w:shd w:val="clear" w:color="auto" w:fill="auto"/>
            <w:noWrap/>
            <w:vAlign w:val="bottom"/>
          </w:tcPr>
          <w:p w14:paraId="2B0270CD" w14:textId="50F131F9" w:rsidR="00DA7A18" w:rsidRPr="005D1ED8" w:rsidRDefault="00552D9B" w:rsidP="005D1ED8">
            <w:pPr>
              <w:tabs>
                <w:tab w:val="decimal" w:pos="827"/>
              </w:tabs>
              <w:ind w:left="-104"/>
              <w:jc w:val="right"/>
              <w:rPr>
                <w:b/>
                <w:sz w:val="20"/>
              </w:rPr>
            </w:pPr>
            <w:r>
              <w:rPr>
                <w:b/>
                <w:spacing w:val="-2"/>
                <w:sz w:val="20"/>
              </w:rPr>
              <w:t>3,593,725</w:t>
            </w:r>
          </w:p>
        </w:tc>
        <w:tc>
          <w:tcPr>
            <w:tcW w:w="284" w:type="dxa"/>
            <w:tcBorders>
              <w:top w:val="single" w:sz="4" w:space="0" w:color="auto"/>
              <w:left w:val="nil"/>
              <w:right w:val="nil"/>
            </w:tcBorders>
            <w:vAlign w:val="bottom"/>
          </w:tcPr>
          <w:p w14:paraId="17AE216C" w14:textId="77777777" w:rsidR="00DA7A18" w:rsidRPr="005D1ED8" w:rsidRDefault="00DA7A18" w:rsidP="005D1ED8">
            <w:pPr>
              <w:ind w:left="-108"/>
              <w:jc w:val="right"/>
              <w:rPr>
                <w:b/>
                <w:sz w:val="20"/>
              </w:rPr>
            </w:pPr>
          </w:p>
        </w:tc>
        <w:tc>
          <w:tcPr>
            <w:tcW w:w="1417" w:type="dxa"/>
            <w:tcBorders>
              <w:top w:val="single" w:sz="4" w:space="0" w:color="auto"/>
              <w:left w:val="nil"/>
              <w:right w:val="nil"/>
            </w:tcBorders>
            <w:shd w:val="clear" w:color="auto" w:fill="auto"/>
            <w:noWrap/>
            <w:vAlign w:val="bottom"/>
          </w:tcPr>
          <w:p w14:paraId="0E44E183" w14:textId="2CABB13B" w:rsidR="00DA7A18" w:rsidRPr="005D1ED8" w:rsidRDefault="00552D9B" w:rsidP="005D1ED8">
            <w:pPr>
              <w:tabs>
                <w:tab w:val="decimal" w:pos="899"/>
              </w:tabs>
              <w:ind w:left="-118"/>
              <w:jc w:val="right"/>
              <w:rPr>
                <w:b/>
                <w:sz w:val="20"/>
              </w:rPr>
            </w:pPr>
            <w:r>
              <w:rPr>
                <w:b/>
                <w:spacing w:val="-2"/>
                <w:sz w:val="20"/>
              </w:rPr>
              <w:t>(23,480,591)</w:t>
            </w:r>
          </w:p>
        </w:tc>
        <w:tc>
          <w:tcPr>
            <w:tcW w:w="284" w:type="dxa"/>
            <w:tcBorders>
              <w:top w:val="single" w:sz="4" w:space="0" w:color="auto"/>
              <w:left w:val="nil"/>
              <w:right w:val="nil"/>
            </w:tcBorders>
            <w:vAlign w:val="bottom"/>
          </w:tcPr>
          <w:p w14:paraId="038C17B0" w14:textId="77777777" w:rsidR="00DA7A18" w:rsidRPr="005D1ED8" w:rsidRDefault="00DA7A18" w:rsidP="005D1ED8">
            <w:pPr>
              <w:ind w:left="-108"/>
              <w:jc w:val="right"/>
              <w:rPr>
                <w:b/>
                <w:sz w:val="20"/>
              </w:rPr>
            </w:pPr>
          </w:p>
        </w:tc>
        <w:tc>
          <w:tcPr>
            <w:tcW w:w="1417" w:type="dxa"/>
            <w:tcBorders>
              <w:top w:val="single" w:sz="4" w:space="0" w:color="auto"/>
              <w:left w:val="nil"/>
              <w:right w:val="nil"/>
            </w:tcBorders>
            <w:shd w:val="clear" w:color="auto" w:fill="auto"/>
            <w:noWrap/>
            <w:vAlign w:val="bottom"/>
          </w:tcPr>
          <w:p w14:paraId="30757E26" w14:textId="4441E5A2" w:rsidR="00DA7A18" w:rsidRPr="005D1ED8" w:rsidRDefault="00552D9B" w:rsidP="005D1ED8">
            <w:pPr>
              <w:tabs>
                <w:tab w:val="decimal" w:pos="965"/>
              </w:tabs>
              <w:ind w:left="-164"/>
              <w:jc w:val="right"/>
              <w:rPr>
                <w:b/>
                <w:sz w:val="20"/>
              </w:rPr>
            </w:pPr>
            <w:r>
              <w:rPr>
                <w:b/>
                <w:sz w:val="20"/>
              </w:rPr>
              <w:t>14,968,525</w:t>
            </w:r>
          </w:p>
        </w:tc>
      </w:tr>
      <w:tr w:rsidR="00DA7A18" w:rsidRPr="000206BE" w14:paraId="06806E32" w14:textId="77777777" w:rsidTr="00C57554">
        <w:trPr>
          <w:trHeight w:val="360"/>
        </w:trPr>
        <w:tc>
          <w:tcPr>
            <w:tcW w:w="4590" w:type="dxa"/>
            <w:tcBorders>
              <w:left w:val="nil"/>
              <w:right w:val="nil"/>
            </w:tcBorders>
            <w:shd w:val="clear" w:color="auto" w:fill="auto"/>
            <w:noWrap/>
            <w:vAlign w:val="bottom"/>
          </w:tcPr>
          <w:p w14:paraId="7C0EC0CA" w14:textId="3445A410" w:rsidR="00DA7A18" w:rsidRPr="000206BE" w:rsidRDefault="00DA7A18" w:rsidP="005D1ED8">
            <w:pPr>
              <w:ind w:left="144" w:hanging="144"/>
              <w:rPr>
                <w:sz w:val="20"/>
              </w:rPr>
            </w:pPr>
            <w:r w:rsidRPr="009974DE">
              <w:rPr>
                <w:sz w:val="20"/>
              </w:rPr>
              <w:t>Shares issued for option</w:t>
            </w:r>
            <w:r w:rsidR="00552D9B">
              <w:rPr>
                <w:sz w:val="20"/>
              </w:rPr>
              <w:t>s exercised</w:t>
            </w:r>
          </w:p>
        </w:tc>
        <w:tc>
          <w:tcPr>
            <w:tcW w:w="360" w:type="dxa"/>
            <w:tcBorders>
              <w:left w:val="nil"/>
              <w:right w:val="nil"/>
            </w:tcBorders>
          </w:tcPr>
          <w:p w14:paraId="5D070C07" w14:textId="77777777" w:rsidR="00DA7A18" w:rsidRPr="000206BE" w:rsidRDefault="00DA7A18" w:rsidP="00DA7A18">
            <w:pPr>
              <w:tabs>
                <w:tab w:val="decimal" w:pos="1152"/>
              </w:tabs>
              <w:ind w:left="144" w:hanging="144"/>
              <w:jc w:val="right"/>
              <w:rPr>
                <w:spacing w:val="-2"/>
                <w:sz w:val="20"/>
              </w:rPr>
            </w:pPr>
          </w:p>
        </w:tc>
        <w:tc>
          <w:tcPr>
            <w:tcW w:w="1470" w:type="dxa"/>
            <w:tcBorders>
              <w:left w:val="nil"/>
              <w:right w:val="nil"/>
            </w:tcBorders>
            <w:shd w:val="clear" w:color="auto" w:fill="auto"/>
            <w:vAlign w:val="bottom"/>
          </w:tcPr>
          <w:p w14:paraId="7265521D" w14:textId="1DF60DAF" w:rsidR="00DA7A18" w:rsidRPr="000206BE" w:rsidRDefault="00552D9B" w:rsidP="005D1ED8">
            <w:pPr>
              <w:tabs>
                <w:tab w:val="decimal" w:pos="1152"/>
              </w:tabs>
              <w:ind w:left="144" w:hanging="144"/>
              <w:jc w:val="right"/>
              <w:rPr>
                <w:sz w:val="20"/>
              </w:rPr>
            </w:pPr>
            <w:r>
              <w:rPr>
                <w:spacing w:val="-2"/>
                <w:sz w:val="20"/>
              </w:rPr>
              <w:t>299,500</w:t>
            </w:r>
          </w:p>
        </w:tc>
        <w:tc>
          <w:tcPr>
            <w:tcW w:w="252" w:type="dxa"/>
            <w:gridSpan w:val="2"/>
            <w:tcBorders>
              <w:left w:val="nil"/>
              <w:right w:val="nil"/>
            </w:tcBorders>
            <w:shd w:val="clear" w:color="auto" w:fill="auto"/>
            <w:vAlign w:val="bottom"/>
          </w:tcPr>
          <w:p w14:paraId="340C201E" w14:textId="77777777" w:rsidR="00DA7A18" w:rsidRPr="000206BE" w:rsidRDefault="00DA7A18" w:rsidP="005D1ED8">
            <w:pPr>
              <w:ind w:left="144" w:hanging="144"/>
              <w:jc w:val="right"/>
              <w:rPr>
                <w:sz w:val="20"/>
              </w:rPr>
            </w:pPr>
          </w:p>
        </w:tc>
        <w:tc>
          <w:tcPr>
            <w:tcW w:w="1262" w:type="dxa"/>
            <w:tcBorders>
              <w:left w:val="nil"/>
              <w:right w:val="nil"/>
            </w:tcBorders>
            <w:shd w:val="clear" w:color="auto" w:fill="auto"/>
            <w:noWrap/>
            <w:vAlign w:val="bottom"/>
          </w:tcPr>
          <w:p w14:paraId="5038E2DC" w14:textId="016C4A45" w:rsidR="00DA7A18" w:rsidRPr="000206BE" w:rsidRDefault="00552D9B" w:rsidP="005D1ED8">
            <w:pPr>
              <w:tabs>
                <w:tab w:val="decimal" w:pos="916"/>
              </w:tabs>
              <w:ind w:left="144" w:hanging="144"/>
              <w:jc w:val="right"/>
              <w:rPr>
                <w:sz w:val="20"/>
              </w:rPr>
            </w:pPr>
            <w:r>
              <w:rPr>
                <w:spacing w:val="-2"/>
                <w:sz w:val="20"/>
              </w:rPr>
              <w:t>28,950</w:t>
            </w:r>
          </w:p>
        </w:tc>
        <w:tc>
          <w:tcPr>
            <w:tcW w:w="288" w:type="dxa"/>
            <w:tcBorders>
              <w:left w:val="nil"/>
              <w:right w:val="nil"/>
            </w:tcBorders>
            <w:shd w:val="clear" w:color="auto" w:fill="auto"/>
            <w:vAlign w:val="bottom"/>
          </w:tcPr>
          <w:p w14:paraId="3163E219" w14:textId="13BD0853" w:rsidR="00DA7A18" w:rsidRPr="000206BE" w:rsidRDefault="00DA7A18" w:rsidP="005D1ED8">
            <w:pPr>
              <w:ind w:left="144" w:hanging="144"/>
              <w:jc w:val="right"/>
              <w:rPr>
                <w:sz w:val="20"/>
              </w:rPr>
            </w:pPr>
          </w:p>
        </w:tc>
        <w:tc>
          <w:tcPr>
            <w:tcW w:w="283" w:type="dxa"/>
            <w:tcBorders>
              <w:left w:val="nil"/>
              <w:right w:val="nil"/>
            </w:tcBorders>
            <w:shd w:val="clear" w:color="auto" w:fill="auto"/>
            <w:vAlign w:val="bottom"/>
          </w:tcPr>
          <w:p w14:paraId="5FE59A31" w14:textId="77777777" w:rsidR="00DA7A18" w:rsidRPr="000206BE" w:rsidRDefault="00DA7A18" w:rsidP="005D1ED8">
            <w:pPr>
              <w:ind w:left="144" w:hanging="144"/>
              <w:jc w:val="right"/>
              <w:rPr>
                <w:sz w:val="20"/>
              </w:rPr>
            </w:pPr>
          </w:p>
        </w:tc>
        <w:tc>
          <w:tcPr>
            <w:tcW w:w="1276" w:type="dxa"/>
            <w:tcBorders>
              <w:left w:val="nil"/>
              <w:right w:val="nil"/>
            </w:tcBorders>
            <w:shd w:val="clear" w:color="auto" w:fill="auto"/>
            <w:noWrap/>
            <w:vAlign w:val="bottom"/>
          </w:tcPr>
          <w:p w14:paraId="06594416" w14:textId="333EB98D" w:rsidR="00DA7A18" w:rsidRPr="000206BE" w:rsidRDefault="0043519E" w:rsidP="005D1ED8">
            <w:pPr>
              <w:tabs>
                <w:tab w:val="decimal" w:pos="827"/>
              </w:tabs>
              <w:ind w:left="144" w:hanging="144"/>
              <w:jc w:val="right"/>
              <w:rPr>
                <w:sz w:val="20"/>
              </w:rPr>
            </w:pPr>
            <w:r>
              <w:rPr>
                <w:sz w:val="20"/>
              </w:rPr>
              <w:t>-</w:t>
            </w:r>
          </w:p>
        </w:tc>
        <w:tc>
          <w:tcPr>
            <w:tcW w:w="284" w:type="dxa"/>
            <w:tcBorders>
              <w:left w:val="nil"/>
              <w:right w:val="nil"/>
            </w:tcBorders>
            <w:shd w:val="clear" w:color="auto" w:fill="auto"/>
            <w:vAlign w:val="bottom"/>
          </w:tcPr>
          <w:p w14:paraId="2995C441" w14:textId="77777777" w:rsidR="00DA7A18" w:rsidRPr="000206BE" w:rsidRDefault="00DA7A18" w:rsidP="005D1ED8">
            <w:pPr>
              <w:ind w:left="144" w:hanging="144"/>
              <w:jc w:val="right"/>
              <w:rPr>
                <w:sz w:val="20"/>
              </w:rPr>
            </w:pPr>
          </w:p>
        </w:tc>
        <w:tc>
          <w:tcPr>
            <w:tcW w:w="1417" w:type="dxa"/>
            <w:tcBorders>
              <w:left w:val="nil"/>
              <w:right w:val="nil"/>
            </w:tcBorders>
            <w:shd w:val="clear" w:color="auto" w:fill="auto"/>
            <w:noWrap/>
            <w:vAlign w:val="bottom"/>
          </w:tcPr>
          <w:p w14:paraId="7196B74B" w14:textId="128268A6" w:rsidR="00DA7A18" w:rsidRPr="000206BE" w:rsidRDefault="0043519E" w:rsidP="005D1ED8">
            <w:pPr>
              <w:tabs>
                <w:tab w:val="decimal" w:pos="899"/>
              </w:tabs>
              <w:ind w:left="144" w:hanging="144"/>
              <w:jc w:val="right"/>
              <w:rPr>
                <w:sz w:val="20"/>
              </w:rPr>
            </w:pPr>
            <w:r>
              <w:rPr>
                <w:sz w:val="20"/>
              </w:rPr>
              <w:t>-</w:t>
            </w:r>
          </w:p>
        </w:tc>
        <w:tc>
          <w:tcPr>
            <w:tcW w:w="284" w:type="dxa"/>
            <w:tcBorders>
              <w:left w:val="nil"/>
              <w:right w:val="nil"/>
            </w:tcBorders>
            <w:shd w:val="clear" w:color="auto" w:fill="auto"/>
            <w:vAlign w:val="bottom"/>
          </w:tcPr>
          <w:p w14:paraId="3E02B59A" w14:textId="77777777" w:rsidR="00DA7A18" w:rsidRPr="000206BE" w:rsidRDefault="00DA7A18" w:rsidP="005D1ED8">
            <w:pPr>
              <w:ind w:left="144" w:hanging="144"/>
              <w:jc w:val="right"/>
              <w:rPr>
                <w:sz w:val="20"/>
              </w:rPr>
            </w:pPr>
          </w:p>
        </w:tc>
        <w:tc>
          <w:tcPr>
            <w:tcW w:w="1417" w:type="dxa"/>
            <w:tcBorders>
              <w:left w:val="nil"/>
              <w:right w:val="nil"/>
            </w:tcBorders>
            <w:shd w:val="clear" w:color="auto" w:fill="auto"/>
            <w:noWrap/>
            <w:vAlign w:val="bottom"/>
          </w:tcPr>
          <w:p w14:paraId="08FDAA71" w14:textId="46AAA999" w:rsidR="00DA7A18" w:rsidRPr="000206BE" w:rsidRDefault="00552D9B" w:rsidP="005D1ED8">
            <w:pPr>
              <w:tabs>
                <w:tab w:val="decimal" w:pos="965"/>
              </w:tabs>
              <w:ind w:left="144" w:hanging="144"/>
              <w:jc w:val="right"/>
              <w:rPr>
                <w:sz w:val="20"/>
              </w:rPr>
            </w:pPr>
            <w:r>
              <w:rPr>
                <w:spacing w:val="-2"/>
                <w:sz w:val="20"/>
              </w:rPr>
              <w:t>28,950</w:t>
            </w:r>
          </w:p>
        </w:tc>
      </w:tr>
      <w:tr w:rsidR="00DA7A18" w:rsidRPr="000206BE" w14:paraId="01C3D2B4" w14:textId="77777777" w:rsidTr="00C57554">
        <w:trPr>
          <w:trHeight w:val="288"/>
        </w:trPr>
        <w:tc>
          <w:tcPr>
            <w:tcW w:w="4590" w:type="dxa"/>
            <w:tcBorders>
              <w:left w:val="nil"/>
              <w:right w:val="nil"/>
            </w:tcBorders>
            <w:shd w:val="clear" w:color="auto" w:fill="auto"/>
            <w:noWrap/>
            <w:vAlign w:val="bottom"/>
          </w:tcPr>
          <w:p w14:paraId="437D1B32" w14:textId="496832AA" w:rsidR="00DA7A18" w:rsidRPr="000206BE" w:rsidRDefault="00DA7A18" w:rsidP="005D1ED8">
            <w:pPr>
              <w:ind w:left="144" w:hanging="144"/>
              <w:rPr>
                <w:sz w:val="20"/>
              </w:rPr>
            </w:pPr>
            <w:r w:rsidRPr="009974DE">
              <w:rPr>
                <w:sz w:val="20"/>
              </w:rPr>
              <w:t>Net</w:t>
            </w:r>
            <w:r w:rsidR="00615D3F">
              <w:rPr>
                <w:sz w:val="20"/>
              </w:rPr>
              <w:t xml:space="preserve"> loss</w:t>
            </w:r>
            <w:r w:rsidRPr="009974DE">
              <w:rPr>
                <w:sz w:val="20"/>
              </w:rPr>
              <w:t xml:space="preserve"> and comprehensive </w:t>
            </w:r>
            <w:r w:rsidR="00615D3F">
              <w:rPr>
                <w:sz w:val="20"/>
              </w:rPr>
              <w:t xml:space="preserve">loss </w:t>
            </w:r>
            <w:r w:rsidRPr="009974DE">
              <w:rPr>
                <w:sz w:val="20"/>
              </w:rPr>
              <w:t xml:space="preserve">for </w:t>
            </w:r>
            <w:r w:rsidR="00552D9B">
              <w:rPr>
                <w:sz w:val="20"/>
              </w:rPr>
              <w:t>the period</w:t>
            </w:r>
          </w:p>
        </w:tc>
        <w:tc>
          <w:tcPr>
            <w:tcW w:w="360" w:type="dxa"/>
            <w:tcBorders>
              <w:left w:val="nil"/>
              <w:right w:val="nil"/>
            </w:tcBorders>
          </w:tcPr>
          <w:p w14:paraId="31892F65" w14:textId="77777777" w:rsidR="00DA7A18" w:rsidRPr="000206BE" w:rsidRDefault="00DA7A18" w:rsidP="00DA7A18">
            <w:pPr>
              <w:tabs>
                <w:tab w:val="decimal" w:pos="1152"/>
              </w:tabs>
              <w:ind w:left="144" w:hanging="144"/>
              <w:jc w:val="right"/>
              <w:rPr>
                <w:spacing w:val="-2"/>
                <w:sz w:val="20"/>
              </w:rPr>
            </w:pPr>
          </w:p>
        </w:tc>
        <w:tc>
          <w:tcPr>
            <w:tcW w:w="1470" w:type="dxa"/>
            <w:tcBorders>
              <w:left w:val="nil"/>
              <w:right w:val="nil"/>
            </w:tcBorders>
            <w:shd w:val="clear" w:color="auto" w:fill="auto"/>
            <w:vAlign w:val="bottom"/>
          </w:tcPr>
          <w:p w14:paraId="76EC148C" w14:textId="7C7390A8" w:rsidR="00DA7A18" w:rsidRPr="000206BE" w:rsidRDefault="0043519E" w:rsidP="005D1ED8">
            <w:pPr>
              <w:tabs>
                <w:tab w:val="decimal" w:pos="1152"/>
              </w:tabs>
              <w:ind w:left="144" w:hanging="144"/>
              <w:jc w:val="right"/>
              <w:rPr>
                <w:sz w:val="20"/>
              </w:rPr>
            </w:pPr>
            <w:r>
              <w:rPr>
                <w:sz w:val="20"/>
              </w:rPr>
              <w:t>-</w:t>
            </w:r>
          </w:p>
        </w:tc>
        <w:tc>
          <w:tcPr>
            <w:tcW w:w="252" w:type="dxa"/>
            <w:gridSpan w:val="2"/>
            <w:tcBorders>
              <w:left w:val="nil"/>
              <w:right w:val="nil"/>
            </w:tcBorders>
            <w:shd w:val="clear" w:color="auto" w:fill="auto"/>
            <w:vAlign w:val="bottom"/>
          </w:tcPr>
          <w:p w14:paraId="59DD3D69" w14:textId="77777777" w:rsidR="00DA7A18" w:rsidRPr="000206BE" w:rsidRDefault="00DA7A18" w:rsidP="005D1ED8">
            <w:pPr>
              <w:ind w:left="144" w:hanging="144"/>
              <w:jc w:val="right"/>
              <w:rPr>
                <w:sz w:val="20"/>
              </w:rPr>
            </w:pPr>
          </w:p>
        </w:tc>
        <w:tc>
          <w:tcPr>
            <w:tcW w:w="1262" w:type="dxa"/>
            <w:tcBorders>
              <w:left w:val="nil"/>
              <w:right w:val="nil"/>
            </w:tcBorders>
            <w:shd w:val="clear" w:color="auto" w:fill="auto"/>
            <w:noWrap/>
            <w:vAlign w:val="bottom"/>
          </w:tcPr>
          <w:p w14:paraId="1789DD68" w14:textId="4C06B891" w:rsidR="00DA7A18" w:rsidRPr="000206BE" w:rsidRDefault="0043519E" w:rsidP="005D1ED8">
            <w:pPr>
              <w:tabs>
                <w:tab w:val="decimal" w:pos="916"/>
              </w:tabs>
              <w:ind w:left="144" w:hanging="144"/>
              <w:jc w:val="right"/>
              <w:rPr>
                <w:sz w:val="20"/>
              </w:rPr>
            </w:pPr>
            <w:r>
              <w:rPr>
                <w:sz w:val="20"/>
              </w:rPr>
              <w:t>-</w:t>
            </w:r>
          </w:p>
        </w:tc>
        <w:tc>
          <w:tcPr>
            <w:tcW w:w="288" w:type="dxa"/>
            <w:tcBorders>
              <w:left w:val="nil"/>
              <w:right w:val="nil"/>
            </w:tcBorders>
            <w:shd w:val="clear" w:color="auto" w:fill="auto"/>
            <w:vAlign w:val="bottom"/>
          </w:tcPr>
          <w:p w14:paraId="1EFFA6B7" w14:textId="55F5240E" w:rsidR="00DA7A18" w:rsidRPr="000206BE" w:rsidRDefault="00DA7A18" w:rsidP="005D1ED8">
            <w:pPr>
              <w:ind w:left="144" w:hanging="144"/>
              <w:jc w:val="right"/>
              <w:rPr>
                <w:sz w:val="20"/>
              </w:rPr>
            </w:pPr>
          </w:p>
        </w:tc>
        <w:tc>
          <w:tcPr>
            <w:tcW w:w="283" w:type="dxa"/>
            <w:tcBorders>
              <w:left w:val="nil"/>
              <w:right w:val="nil"/>
            </w:tcBorders>
            <w:shd w:val="clear" w:color="auto" w:fill="auto"/>
            <w:vAlign w:val="bottom"/>
          </w:tcPr>
          <w:p w14:paraId="50AB7C57" w14:textId="77777777" w:rsidR="00DA7A18" w:rsidRPr="000206BE" w:rsidRDefault="00DA7A18" w:rsidP="005D1ED8">
            <w:pPr>
              <w:ind w:left="144" w:hanging="144"/>
              <w:jc w:val="right"/>
              <w:rPr>
                <w:sz w:val="20"/>
              </w:rPr>
            </w:pPr>
          </w:p>
        </w:tc>
        <w:tc>
          <w:tcPr>
            <w:tcW w:w="1276" w:type="dxa"/>
            <w:tcBorders>
              <w:left w:val="nil"/>
              <w:right w:val="nil"/>
            </w:tcBorders>
            <w:shd w:val="clear" w:color="auto" w:fill="auto"/>
            <w:noWrap/>
            <w:vAlign w:val="bottom"/>
          </w:tcPr>
          <w:p w14:paraId="5DCE08D8" w14:textId="1C67688B" w:rsidR="00DA7A18" w:rsidRPr="000206BE" w:rsidRDefault="0043519E" w:rsidP="005D1ED8">
            <w:pPr>
              <w:tabs>
                <w:tab w:val="decimal" w:pos="827"/>
              </w:tabs>
              <w:ind w:left="144" w:hanging="144"/>
              <w:jc w:val="right"/>
              <w:rPr>
                <w:sz w:val="20"/>
              </w:rPr>
            </w:pPr>
            <w:r>
              <w:rPr>
                <w:sz w:val="20"/>
              </w:rPr>
              <w:t>-</w:t>
            </w:r>
          </w:p>
        </w:tc>
        <w:tc>
          <w:tcPr>
            <w:tcW w:w="284" w:type="dxa"/>
            <w:tcBorders>
              <w:left w:val="nil"/>
              <w:right w:val="nil"/>
            </w:tcBorders>
            <w:shd w:val="clear" w:color="auto" w:fill="auto"/>
            <w:vAlign w:val="bottom"/>
          </w:tcPr>
          <w:p w14:paraId="44362E3F" w14:textId="77777777" w:rsidR="00DA7A18" w:rsidRPr="000206BE" w:rsidRDefault="00DA7A18" w:rsidP="005D1ED8">
            <w:pPr>
              <w:ind w:left="144" w:hanging="144"/>
              <w:jc w:val="right"/>
              <w:rPr>
                <w:sz w:val="20"/>
              </w:rPr>
            </w:pPr>
          </w:p>
        </w:tc>
        <w:tc>
          <w:tcPr>
            <w:tcW w:w="1417" w:type="dxa"/>
            <w:tcBorders>
              <w:left w:val="nil"/>
              <w:right w:val="nil"/>
            </w:tcBorders>
            <w:shd w:val="clear" w:color="auto" w:fill="auto"/>
            <w:noWrap/>
            <w:vAlign w:val="bottom"/>
          </w:tcPr>
          <w:p w14:paraId="6D98F050" w14:textId="23DDAAAE" w:rsidR="00DA7A18" w:rsidRPr="005B2B51" w:rsidRDefault="00552D9B" w:rsidP="005D1ED8">
            <w:pPr>
              <w:tabs>
                <w:tab w:val="decimal" w:pos="899"/>
              </w:tabs>
              <w:ind w:left="144" w:hanging="144"/>
              <w:jc w:val="right"/>
              <w:rPr>
                <w:spacing w:val="-2"/>
                <w:sz w:val="20"/>
              </w:rPr>
            </w:pPr>
            <w:r>
              <w:rPr>
                <w:spacing w:val="-2"/>
                <w:sz w:val="20"/>
              </w:rPr>
              <w:t>(</w:t>
            </w:r>
            <w:r w:rsidR="00BE4672">
              <w:rPr>
                <w:spacing w:val="-2"/>
                <w:sz w:val="20"/>
              </w:rPr>
              <w:t>79,490</w:t>
            </w:r>
            <w:r>
              <w:rPr>
                <w:spacing w:val="-2"/>
                <w:sz w:val="20"/>
              </w:rPr>
              <w:t>)</w:t>
            </w:r>
          </w:p>
        </w:tc>
        <w:tc>
          <w:tcPr>
            <w:tcW w:w="284" w:type="dxa"/>
            <w:tcBorders>
              <w:left w:val="nil"/>
              <w:right w:val="nil"/>
            </w:tcBorders>
            <w:shd w:val="clear" w:color="auto" w:fill="auto"/>
            <w:vAlign w:val="bottom"/>
          </w:tcPr>
          <w:p w14:paraId="1F482D91" w14:textId="77777777" w:rsidR="00DA7A18" w:rsidRPr="005B2B51" w:rsidRDefault="00DA7A18" w:rsidP="005D1ED8">
            <w:pPr>
              <w:ind w:left="144" w:hanging="144"/>
              <w:jc w:val="right"/>
              <w:rPr>
                <w:spacing w:val="-2"/>
                <w:sz w:val="20"/>
              </w:rPr>
            </w:pPr>
          </w:p>
        </w:tc>
        <w:tc>
          <w:tcPr>
            <w:tcW w:w="1417" w:type="dxa"/>
            <w:tcBorders>
              <w:left w:val="nil"/>
              <w:right w:val="nil"/>
            </w:tcBorders>
            <w:shd w:val="clear" w:color="auto" w:fill="auto"/>
            <w:noWrap/>
            <w:vAlign w:val="bottom"/>
          </w:tcPr>
          <w:p w14:paraId="2F08DAEF" w14:textId="09E99594" w:rsidR="00DA7A18" w:rsidRPr="005B2B51" w:rsidRDefault="00552D9B" w:rsidP="005D1ED8">
            <w:pPr>
              <w:tabs>
                <w:tab w:val="decimal" w:pos="965"/>
              </w:tabs>
              <w:ind w:left="144" w:hanging="144"/>
              <w:jc w:val="right"/>
              <w:rPr>
                <w:spacing w:val="-2"/>
                <w:sz w:val="20"/>
              </w:rPr>
            </w:pPr>
            <w:r>
              <w:rPr>
                <w:spacing w:val="-2"/>
                <w:sz w:val="20"/>
              </w:rPr>
              <w:t>(</w:t>
            </w:r>
            <w:r w:rsidR="00BE4672">
              <w:rPr>
                <w:spacing w:val="-2"/>
                <w:sz w:val="20"/>
              </w:rPr>
              <w:t>79,490</w:t>
            </w:r>
            <w:r>
              <w:rPr>
                <w:spacing w:val="-2"/>
                <w:sz w:val="20"/>
              </w:rPr>
              <w:t>)</w:t>
            </w:r>
          </w:p>
        </w:tc>
      </w:tr>
      <w:tr w:rsidR="00DA7A18" w:rsidRPr="005D1ED8" w14:paraId="216CE600" w14:textId="77777777" w:rsidTr="00C57554">
        <w:trPr>
          <w:trHeight w:val="360"/>
        </w:trPr>
        <w:tc>
          <w:tcPr>
            <w:tcW w:w="4590" w:type="dxa"/>
            <w:tcBorders>
              <w:top w:val="single" w:sz="2" w:space="0" w:color="auto"/>
              <w:left w:val="nil"/>
              <w:bottom w:val="double" w:sz="4" w:space="0" w:color="auto"/>
              <w:right w:val="nil"/>
            </w:tcBorders>
            <w:shd w:val="clear" w:color="auto" w:fill="auto"/>
            <w:noWrap/>
            <w:vAlign w:val="bottom"/>
          </w:tcPr>
          <w:p w14:paraId="1A5D131C" w14:textId="1F0A1D8A" w:rsidR="00DA7A18" w:rsidRPr="005D1ED8" w:rsidRDefault="00DA7A18" w:rsidP="005D1ED8">
            <w:pPr>
              <w:ind w:left="144" w:hanging="144"/>
              <w:rPr>
                <w:b/>
                <w:sz w:val="20"/>
              </w:rPr>
            </w:pPr>
            <w:r w:rsidRPr="005D1ED8">
              <w:rPr>
                <w:b/>
                <w:sz w:val="20"/>
              </w:rPr>
              <w:t xml:space="preserve">Balance – </w:t>
            </w:r>
            <w:r w:rsidR="00552D9B">
              <w:rPr>
                <w:b/>
                <w:sz w:val="20"/>
              </w:rPr>
              <w:t>June 30</w:t>
            </w:r>
            <w:r w:rsidRPr="005D1ED8">
              <w:rPr>
                <w:b/>
                <w:sz w:val="20"/>
              </w:rPr>
              <w:t>, 2020</w:t>
            </w:r>
          </w:p>
        </w:tc>
        <w:tc>
          <w:tcPr>
            <w:tcW w:w="360" w:type="dxa"/>
            <w:tcBorders>
              <w:top w:val="single" w:sz="2" w:space="0" w:color="auto"/>
              <w:left w:val="nil"/>
              <w:bottom w:val="double" w:sz="4" w:space="0" w:color="auto"/>
              <w:right w:val="nil"/>
            </w:tcBorders>
          </w:tcPr>
          <w:p w14:paraId="7FB2E96B" w14:textId="77777777" w:rsidR="00DA7A18" w:rsidRPr="005D1ED8" w:rsidRDefault="00DA7A18" w:rsidP="00DA7A18">
            <w:pPr>
              <w:tabs>
                <w:tab w:val="decimal" w:pos="1152"/>
              </w:tabs>
              <w:ind w:left="144" w:hanging="144"/>
              <w:jc w:val="right"/>
              <w:rPr>
                <w:b/>
                <w:sz w:val="20"/>
              </w:rPr>
            </w:pPr>
          </w:p>
        </w:tc>
        <w:tc>
          <w:tcPr>
            <w:tcW w:w="1470" w:type="dxa"/>
            <w:tcBorders>
              <w:top w:val="single" w:sz="2" w:space="0" w:color="auto"/>
              <w:left w:val="nil"/>
              <w:bottom w:val="double" w:sz="4" w:space="0" w:color="auto"/>
              <w:right w:val="nil"/>
            </w:tcBorders>
            <w:shd w:val="clear" w:color="auto" w:fill="auto"/>
            <w:vAlign w:val="bottom"/>
          </w:tcPr>
          <w:p w14:paraId="0DB19C52" w14:textId="3E3F1967" w:rsidR="00DA7A18" w:rsidRPr="005D1ED8" w:rsidRDefault="00C57554" w:rsidP="005D1ED8">
            <w:pPr>
              <w:tabs>
                <w:tab w:val="decimal" w:pos="1152"/>
              </w:tabs>
              <w:ind w:left="144" w:hanging="144"/>
              <w:jc w:val="right"/>
              <w:rPr>
                <w:b/>
                <w:sz w:val="20"/>
              </w:rPr>
            </w:pPr>
            <w:r>
              <w:rPr>
                <w:b/>
                <w:sz w:val="20"/>
              </w:rPr>
              <w:t>103,080,140</w:t>
            </w:r>
          </w:p>
        </w:tc>
        <w:tc>
          <w:tcPr>
            <w:tcW w:w="252" w:type="dxa"/>
            <w:gridSpan w:val="2"/>
            <w:tcBorders>
              <w:top w:val="single" w:sz="2" w:space="0" w:color="auto"/>
              <w:left w:val="nil"/>
              <w:bottom w:val="double" w:sz="4" w:space="0" w:color="auto"/>
              <w:right w:val="nil"/>
            </w:tcBorders>
            <w:shd w:val="clear" w:color="auto" w:fill="auto"/>
            <w:vAlign w:val="bottom"/>
          </w:tcPr>
          <w:p w14:paraId="71C69F5F" w14:textId="77777777" w:rsidR="00DA7A18" w:rsidRPr="005D1ED8" w:rsidRDefault="00DA7A18" w:rsidP="005D1ED8">
            <w:pPr>
              <w:ind w:left="144" w:hanging="144"/>
              <w:jc w:val="right"/>
              <w:rPr>
                <w:b/>
                <w:sz w:val="20"/>
              </w:rPr>
            </w:pPr>
          </w:p>
        </w:tc>
        <w:tc>
          <w:tcPr>
            <w:tcW w:w="1262" w:type="dxa"/>
            <w:tcBorders>
              <w:top w:val="single" w:sz="2" w:space="0" w:color="auto"/>
              <w:left w:val="nil"/>
              <w:bottom w:val="double" w:sz="4" w:space="0" w:color="auto"/>
              <w:right w:val="nil"/>
            </w:tcBorders>
            <w:shd w:val="clear" w:color="auto" w:fill="auto"/>
            <w:noWrap/>
            <w:vAlign w:val="bottom"/>
          </w:tcPr>
          <w:p w14:paraId="6BDCF872" w14:textId="369ADCE6" w:rsidR="00DA7A18" w:rsidRPr="005D1ED8" w:rsidRDefault="00C57554" w:rsidP="005D1ED8">
            <w:pPr>
              <w:tabs>
                <w:tab w:val="decimal" w:pos="916"/>
              </w:tabs>
              <w:ind w:left="144" w:hanging="144"/>
              <w:jc w:val="right"/>
              <w:rPr>
                <w:b/>
                <w:sz w:val="20"/>
              </w:rPr>
            </w:pPr>
            <w:r>
              <w:rPr>
                <w:b/>
                <w:sz w:val="20"/>
              </w:rPr>
              <w:t>34,884,341</w:t>
            </w:r>
          </w:p>
        </w:tc>
        <w:tc>
          <w:tcPr>
            <w:tcW w:w="288" w:type="dxa"/>
            <w:tcBorders>
              <w:top w:val="single" w:sz="2" w:space="0" w:color="auto"/>
              <w:left w:val="nil"/>
              <w:bottom w:val="double" w:sz="4" w:space="0" w:color="auto"/>
              <w:right w:val="nil"/>
            </w:tcBorders>
            <w:shd w:val="clear" w:color="auto" w:fill="auto"/>
            <w:vAlign w:val="bottom"/>
          </w:tcPr>
          <w:p w14:paraId="17340DD9" w14:textId="38750700" w:rsidR="00DA7A18" w:rsidRPr="005D1ED8" w:rsidRDefault="00DA7A18" w:rsidP="005D1ED8">
            <w:pPr>
              <w:ind w:left="144" w:hanging="144"/>
              <w:jc w:val="right"/>
              <w:rPr>
                <w:b/>
                <w:sz w:val="20"/>
              </w:rPr>
            </w:pPr>
          </w:p>
        </w:tc>
        <w:tc>
          <w:tcPr>
            <w:tcW w:w="283" w:type="dxa"/>
            <w:tcBorders>
              <w:top w:val="single" w:sz="2" w:space="0" w:color="auto"/>
              <w:left w:val="nil"/>
              <w:bottom w:val="double" w:sz="4" w:space="0" w:color="auto"/>
              <w:right w:val="nil"/>
            </w:tcBorders>
            <w:shd w:val="clear" w:color="auto" w:fill="auto"/>
            <w:vAlign w:val="bottom"/>
          </w:tcPr>
          <w:p w14:paraId="43040EFB" w14:textId="77777777" w:rsidR="00DA7A18" w:rsidRPr="005D1ED8" w:rsidRDefault="00DA7A18" w:rsidP="005D1ED8">
            <w:pPr>
              <w:ind w:left="144" w:hanging="144"/>
              <w:jc w:val="right"/>
              <w:rPr>
                <w:b/>
                <w:sz w:val="20"/>
              </w:rPr>
            </w:pPr>
          </w:p>
        </w:tc>
        <w:tc>
          <w:tcPr>
            <w:tcW w:w="1276" w:type="dxa"/>
            <w:tcBorders>
              <w:top w:val="single" w:sz="2" w:space="0" w:color="auto"/>
              <w:left w:val="nil"/>
              <w:bottom w:val="double" w:sz="4" w:space="0" w:color="auto"/>
              <w:right w:val="nil"/>
            </w:tcBorders>
            <w:shd w:val="clear" w:color="auto" w:fill="auto"/>
            <w:noWrap/>
            <w:vAlign w:val="bottom"/>
          </w:tcPr>
          <w:p w14:paraId="0DBF8229" w14:textId="2BA5929E" w:rsidR="00DA7A18" w:rsidRPr="005D1ED8" w:rsidRDefault="00DA7A18" w:rsidP="005D1ED8">
            <w:pPr>
              <w:tabs>
                <w:tab w:val="decimal" w:pos="827"/>
              </w:tabs>
              <w:ind w:left="144" w:hanging="144"/>
              <w:jc w:val="right"/>
              <w:rPr>
                <w:b/>
                <w:sz w:val="20"/>
              </w:rPr>
            </w:pPr>
            <w:r w:rsidRPr="005D1ED8">
              <w:rPr>
                <w:b/>
                <w:sz w:val="20"/>
              </w:rPr>
              <w:t xml:space="preserve">3,593,725 </w:t>
            </w:r>
          </w:p>
        </w:tc>
        <w:tc>
          <w:tcPr>
            <w:tcW w:w="284" w:type="dxa"/>
            <w:tcBorders>
              <w:top w:val="single" w:sz="2" w:space="0" w:color="auto"/>
              <w:left w:val="nil"/>
              <w:bottom w:val="double" w:sz="4" w:space="0" w:color="auto"/>
              <w:right w:val="nil"/>
            </w:tcBorders>
            <w:shd w:val="clear" w:color="auto" w:fill="auto"/>
            <w:vAlign w:val="bottom"/>
          </w:tcPr>
          <w:p w14:paraId="06F1239C" w14:textId="77777777" w:rsidR="00DA7A18" w:rsidRPr="005D1ED8" w:rsidRDefault="00DA7A18" w:rsidP="005D1ED8">
            <w:pPr>
              <w:ind w:left="144" w:hanging="144"/>
              <w:jc w:val="right"/>
              <w:rPr>
                <w:b/>
                <w:sz w:val="20"/>
              </w:rPr>
            </w:pPr>
          </w:p>
        </w:tc>
        <w:tc>
          <w:tcPr>
            <w:tcW w:w="1417" w:type="dxa"/>
            <w:tcBorders>
              <w:top w:val="single" w:sz="2" w:space="0" w:color="auto"/>
              <w:left w:val="nil"/>
              <w:bottom w:val="double" w:sz="4" w:space="0" w:color="auto"/>
              <w:right w:val="nil"/>
            </w:tcBorders>
            <w:shd w:val="clear" w:color="auto" w:fill="auto"/>
            <w:noWrap/>
            <w:vAlign w:val="bottom"/>
          </w:tcPr>
          <w:p w14:paraId="6BEFBA70" w14:textId="611C035D" w:rsidR="00DA7A18" w:rsidRPr="005D1ED8" w:rsidRDefault="00C57554" w:rsidP="005D1ED8">
            <w:pPr>
              <w:tabs>
                <w:tab w:val="decimal" w:pos="827"/>
              </w:tabs>
              <w:ind w:left="144" w:hanging="144"/>
              <w:jc w:val="right"/>
              <w:rPr>
                <w:b/>
                <w:sz w:val="20"/>
              </w:rPr>
            </w:pPr>
            <w:r>
              <w:rPr>
                <w:b/>
                <w:sz w:val="20"/>
              </w:rPr>
              <w:t>(23,</w:t>
            </w:r>
            <w:r w:rsidR="00BE4672">
              <w:rPr>
                <w:b/>
                <w:sz w:val="20"/>
              </w:rPr>
              <w:t>560,081</w:t>
            </w:r>
            <w:r>
              <w:rPr>
                <w:b/>
                <w:sz w:val="20"/>
              </w:rPr>
              <w:t>)</w:t>
            </w:r>
          </w:p>
        </w:tc>
        <w:tc>
          <w:tcPr>
            <w:tcW w:w="284" w:type="dxa"/>
            <w:tcBorders>
              <w:top w:val="single" w:sz="2" w:space="0" w:color="auto"/>
              <w:left w:val="nil"/>
              <w:bottom w:val="double" w:sz="4" w:space="0" w:color="auto"/>
              <w:right w:val="nil"/>
            </w:tcBorders>
            <w:shd w:val="clear" w:color="auto" w:fill="auto"/>
            <w:vAlign w:val="bottom"/>
          </w:tcPr>
          <w:p w14:paraId="66D03F50" w14:textId="77777777" w:rsidR="00DA7A18" w:rsidRPr="005D1ED8" w:rsidRDefault="00DA7A18" w:rsidP="005D1ED8">
            <w:pPr>
              <w:ind w:left="144" w:hanging="144"/>
              <w:jc w:val="right"/>
              <w:rPr>
                <w:b/>
                <w:sz w:val="20"/>
              </w:rPr>
            </w:pPr>
          </w:p>
        </w:tc>
        <w:tc>
          <w:tcPr>
            <w:tcW w:w="1417" w:type="dxa"/>
            <w:tcBorders>
              <w:top w:val="single" w:sz="2" w:space="0" w:color="auto"/>
              <w:left w:val="nil"/>
              <w:bottom w:val="double" w:sz="4" w:space="0" w:color="auto"/>
              <w:right w:val="nil"/>
            </w:tcBorders>
            <w:shd w:val="clear" w:color="auto" w:fill="auto"/>
            <w:noWrap/>
            <w:vAlign w:val="bottom"/>
          </w:tcPr>
          <w:p w14:paraId="5E19DE2A" w14:textId="0AB9F442" w:rsidR="00DA7A18" w:rsidRPr="005D1ED8" w:rsidRDefault="00BE4672" w:rsidP="005D1ED8">
            <w:pPr>
              <w:tabs>
                <w:tab w:val="decimal" w:pos="965"/>
              </w:tabs>
              <w:ind w:left="144" w:hanging="144"/>
              <w:jc w:val="right"/>
              <w:rPr>
                <w:b/>
                <w:sz w:val="20"/>
              </w:rPr>
            </w:pPr>
            <w:r>
              <w:rPr>
                <w:b/>
                <w:sz w:val="20"/>
              </w:rPr>
              <w:t>14,</w:t>
            </w:r>
            <w:r w:rsidR="00E55DDC">
              <w:rPr>
                <w:b/>
                <w:sz w:val="20"/>
              </w:rPr>
              <w:t>917,985</w:t>
            </w:r>
          </w:p>
        </w:tc>
      </w:tr>
    </w:tbl>
    <w:p w14:paraId="69C04153" w14:textId="77777777" w:rsidR="00E74FAD" w:rsidRPr="000206BE" w:rsidRDefault="00E74FAD" w:rsidP="0002032C">
      <w:pPr>
        <w:autoSpaceDE w:val="0"/>
        <w:autoSpaceDN w:val="0"/>
        <w:adjustRightInd w:val="0"/>
        <w:jc w:val="both"/>
        <w:rPr>
          <w:b/>
          <w:sz w:val="19"/>
          <w:szCs w:val="19"/>
        </w:rPr>
      </w:pPr>
    </w:p>
    <w:p w14:paraId="0F96F741" w14:textId="77777777" w:rsidR="002D67FE" w:rsidRPr="000206BE" w:rsidRDefault="002D67FE" w:rsidP="0002032C">
      <w:pPr>
        <w:autoSpaceDE w:val="0"/>
        <w:autoSpaceDN w:val="0"/>
        <w:adjustRightInd w:val="0"/>
        <w:jc w:val="both"/>
        <w:rPr>
          <w:sz w:val="19"/>
          <w:szCs w:val="19"/>
        </w:rPr>
      </w:pPr>
    </w:p>
    <w:p w14:paraId="2D9833E2" w14:textId="77777777" w:rsidR="0002032C" w:rsidRPr="000206BE" w:rsidRDefault="0002032C" w:rsidP="000642E2">
      <w:pPr>
        <w:widowControl/>
        <w:rPr>
          <w:b/>
          <w:bCs/>
          <w:sz w:val="20"/>
          <w:lang w:val="en-CA" w:eastAsia="en-CA"/>
        </w:rPr>
      </w:pPr>
    </w:p>
    <w:p w14:paraId="430B3294" w14:textId="77777777" w:rsidR="00623D0E" w:rsidRPr="000206BE" w:rsidRDefault="00623D0E" w:rsidP="00623D0E">
      <w:pPr>
        <w:pStyle w:val="BodyText"/>
        <w:jc w:val="center"/>
        <w:rPr>
          <w:b/>
          <w:bCs/>
        </w:rPr>
      </w:pPr>
      <w:r w:rsidRPr="000206BE">
        <w:rPr>
          <w:b/>
          <w:i/>
          <w:iCs/>
          <w:lang w:val="en-CA" w:eastAsia="en-CA"/>
        </w:rPr>
        <w:t>-See Accompanying Notes-</w:t>
      </w:r>
    </w:p>
    <w:p w14:paraId="1FA02A90" w14:textId="77777777" w:rsidR="00E11A6E" w:rsidRPr="000206BE" w:rsidRDefault="00E11A6E" w:rsidP="00022507">
      <w:pPr>
        <w:widowControl/>
        <w:rPr>
          <w:b/>
          <w:bCs/>
          <w:sz w:val="20"/>
          <w:lang w:val="en-CA" w:eastAsia="en-CA"/>
        </w:rPr>
      </w:pPr>
    </w:p>
    <w:p w14:paraId="5E8DA523" w14:textId="6C1017E6" w:rsidR="00FF07B5" w:rsidRPr="000206BE" w:rsidRDefault="00FF07B5">
      <w:pPr>
        <w:widowControl/>
        <w:rPr>
          <w:b/>
          <w:bCs/>
          <w:sz w:val="20"/>
          <w:lang w:val="en-CA" w:eastAsia="en-CA"/>
        </w:rPr>
      </w:pPr>
    </w:p>
    <w:p w14:paraId="7B050CD9" w14:textId="77777777" w:rsidR="00FF07B5" w:rsidRPr="000206BE" w:rsidRDefault="00FF07B5" w:rsidP="00022507">
      <w:pPr>
        <w:widowControl/>
        <w:rPr>
          <w:b/>
          <w:bCs/>
          <w:sz w:val="20"/>
          <w:lang w:val="en-CA" w:eastAsia="en-CA"/>
        </w:rPr>
        <w:sectPr w:rsidR="00FF07B5" w:rsidRPr="000206BE" w:rsidSect="003955C2">
          <w:headerReference w:type="even" r:id="rId27"/>
          <w:headerReference w:type="default" r:id="rId28"/>
          <w:headerReference w:type="first" r:id="rId29"/>
          <w:pgSz w:w="15840" w:h="12240" w:orient="landscape"/>
          <w:pgMar w:top="1440" w:right="1440" w:bottom="1440" w:left="1440" w:header="706" w:footer="706" w:gutter="0"/>
          <w:cols w:space="708"/>
          <w:titlePg/>
          <w:docGrid w:linePitch="360"/>
        </w:sectPr>
      </w:pPr>
    </w:p>
    <w:tbl>
      <w:tblPr>
        <w:tblpPr w:leftFromText="181" w:rightFromText="181" w:vertAnchor="text" w:horzAnchor="page" w:tblpX="1438" w:tblpY="106"/>
        <w:tblOverlap w:val="never"/>
        <w:tblW w:w="9351" w:type="dxa"/>
        <w:tblLayout w:type="fixed"/>
        <w:tblLook w:val="00A0" w:firstRow="1" w:lastRow="0" w:firstColumn="1" w:lastColumn="0" w:noHBand="0" w:noVBand="0"/>
      </w:tblPr>
      <w:tblGrid>
        <w:gridCol w:w="5940"/>
        <w:gridCol w:w="1705"/>
        <w:gridCol w:w="1706"/>
      </w:tblGrid>
      <w:tr w:rsidR="00586E8D" w:rsidRPr="000206BE" w14:paraId="7739E06D" w14:textId="77777777" w:rsidTr="00D56CDC">
        <w:trPr>
          <w:trHeight w:val="216"/>
        </w:trPr>
        <w:tc>
          <w:tcPr>
            <w:tcW w:w="5940" w:type="dxa"/>
            <w:tcBorders>
              <w:top w:val="double" w:sz="4" w:space="0" w:color="auto"/>
              <w:left w:val="nil"/>
            </w:tcBorders>
            <w:shd w:val="clear" w:color="000000" w:fill="FFFFFF"/>
            <w:noWrap/>
            <w:vAlign w:val="bottom"/>
          </w:tcPr>
          <w:p w14:paraId="0BCAD892" w14:textId="04E8DBAB" w:rsidR="00586E8D" w:rsidRPr="000206BE" w:rsidRDefault="00586E8D" w:rsidP="004602D5">
            <w:pPr>
              <w:widowControl/>
              <w:ind w:hanging="112"/>
              <w:rPr>
                <w:i/>
                <w:sz w:val="20"/>
                <w:lang w:val="en-CA" w:eastAsia="en-CA"/>
              </w:rPr>
            </w:pPr>
          </w:p>
        </w:tc>
        <w:tc>
          <w:tcPr>
            <w:tcW w:w="1705" w:type="dxa"/>
            <w:tcBorders>
              <w:top w:val="double" w:sz="4" w:space="0" w:color="auto"/>
              <w:left w:val="nil"/>
            </w:tcBorders>
            <w:shd w:val="clear" w:color="000000" w:fill="FFFFFF"/>
            <w:vAlign w:val="bottom"/>
          </w:tcPr>
          <w:p w14:paraId="7FE316B4" w14:textId="2CF97B9E" w:rsidR="00586E8D" w:rsidRPr="000206BE" w:rsidRDefault="000254EE" w:rsidP="00D56CDC">
            <w:pPr>
              <w:widowControl/>
              <w:jc w:val="right"/>
              <w:rPr>
                <w:b/>
                <w:spacing w:val="-2"/>
                <w:sz w:val="20"/>
              </w:rPr>
            </w:pPr>
            <w:r>
              <w:rPr>
                <w:b/>
                <w:spacing w:val="-2"/>
                <w:sz w:val="20"/>
              </w:rPr>
              <w:t>June 30</w:t>
            </w:r>
            <w:r w:rsidR="00586E8D" w:rsidRPr="000206BE">
              <w:rPr>
                <w:b/>
                <w:spacing w:val="-2"/>
                <w:sz w:val="20"/>
              </w:rPr>
              <w:t>,</w:t>
            </w:r>
          </w:p>
          <w:p w14:paraId="45EAE409" w14:textId="6D2FA380" w:rsidR="00586E8D" w:rsidRPr="000206BE" w:rsidRDefault="00586E8D" w:rsidP="00D56CDC">
            <w:pPr>
              <w:widowControl/>
              <w:jc w:val="right"/>
              <w:rPr>
                <w:sz w:val="20"/>
                <w:lang w:val="en-CA" w:eastAsia="en-CA"/>
              </w:rPr>
            </w:pPr>
            <w:r w:rsidRPr="000206BE">
              <w:rPr>
                <w:b/>
                <w:spacing w:val="-2"/>
                <w:sz w:val="20"/>
              </w:rPr>
              <w:t xml:space="preserve"> 20</w:t>
            </w:r>
            <w:r w:rsidR="00DB3CE1">
              <w:rPr>
                <w:b/>
                <w:spacing w:val="-2"/>
                <w:sz w:val="20"/>
              </w:rPr>
              <w:t>20</w:t>
            </w:r>
          </w:p>
        </w:tc>
        <w:tc>
          <w:tcPr>
            <w:tcW w:w="1706" w:type="dxa"/>
            <w:tcBorders>
              <w:top w:val="double" w:sz="4" w:space="0" w:color="auto"/>
              <w:left w:val="nil"/>
              <w:right w:val="nil"/>
            </w:tcBorders>
            <w:shd w:val="clear" w:color="000000" w:fill="FFFFFF"/>
            <w:vAlign w:val="bottom"/>
          </w:tcPr>
          <w:p w14:paraId="71F36A0F" w14:textId="1BD6D457" w:rsidR="00586E8D" w:rsidRPr="00586E8D" w:rsidRDefault="000254EE" w:rsidP="00D56CDC">
            <w:pPr>
              <w:widowControl/>
              <w:jc w:val="right"/>
              <w:rPr>
                <w:bCs/>
                <w:spacing w:val="-2"/>
                <w:sz w:val="20"/>
              </w:rPr>
            </w:pPr>
            <w:r>
              <w:rPr>
                <w:bCs/>
                <w:spacing w:val="-2"/>
                <w:sz w:val="20"/>
              </w:rPr>
              <w:t>June 30</w:t>
            </w:r>
            <w:r w:rsidR="00586E8D" w:rsidRPr="00586E8D">
              <w:rPr>
                <w:bCs/>
                <w:spacing w:val="-2"/>
                <w:sz w:val="20"/>
              </w:rPr>
              <w:t>,</w:t>
            </w:r>
          </w:p>
          <w:p w14:paraId="78BFF57E" w14:textId="73A59F7F" w:rsidR="00586E8D" w:rsidRPr="00586E8D" w:rsidRDefault="00586E8D" w:rsidP="00D56CDC">
            <w:pPr>
              <w:widowControl/>
              <w:jc w:val="right"/>
              <w:rPr>
                <w:bCs/>
                <w:sz w:val="20"/>
                <w:lang w:val="en-CA" w:eastAsia="en-CA"/>
              </w:rPr>
            </w:pPr>
            <w:r w:rsidRPr="00586E8D">
              <w:rPr>
                <w:bCs/>
                <w:spacing w:val="-2"/>
                <w:sz w:val="20"/>
              </w:rPr>
              <w:t xml:space="preserve"> 2019</w:t>
            </w:r>
          </w:p>
        </w:tc>
      </w:tr>
      <w:tr w:rsidR="00586E8D" w:rsidRPr="000206BE" w14:paraId="1D5F695A" w14:textId="77777777" w:rsidTr="00D56CDC">
        <w:trPr>
          <w:trHeight w:val="216"/>
        </w:trPr>
        <w:tc>
          <w:tcPr>
            <w:tcW w:w="5940" w:type="dxa"/>
            <w:tcBorders>
              <w:left w:val="nil"/>
              <w:bottom w:val="single" w:sz="4" w:space="0" w:color="auto"/>
            </w:tcBorders>
            <w:shd w:val="clear" w:color="000000" w:fill="FFFFFF"/>
            <w:noWrap/>
            <w:vAlign w:val="bottom"/>
          </w:tcPr>
          <w:p w14:paraId="0263A6F8" w14:textId="1AD935A2" w:rsidR="00586E8D" w:rsidRPr="000206BE" w:rsidRDefault="00586E8D" w:rsidP="00C41E5B">
            <w:pPr>
              <w:widowControl/>
              <w:ind w:hanging="112"/>
              <w:rPr>
                <w:b/>
                <w:bCs/>
                <w:sz w:val="20"/>
              </w:rPr>
            </w:pPr>
          </w:p>
        </w:tc>
        <w:tc>
          <w:tcPr>
            <w:tcW w:w="1705" w:type="dxa"/>
            <w:tcBorders>
              <w:left w:val="nil"/>
              <w:bottom w:val="single" w:sz="4" w:space="0" w:color="auto"/>
            </w:tcBorders>
            <w:shd w:val="clear" w:color="000000" w:fill="FFFFFF"/>
            <w:vAlign w:val="bottom"/>
          </w:tcPr>
          <w:p w14:paraId="440924D3" w14:textId="77777777" w:rsidR="00586E8D" w:rsidRPr="000206BE" w:rsidRDefault="00586E8D" w:rsidP="00D56CDC">
            <w:pPr>
              <w:widowControl/>
              <w:tabs>
                <w:tab w:val="decimal" w:pos="1131"/>
              </w:tabs>
              <w:jc w:val="right"/>
              <w:rPr>
                <w:sz w:val="20"/>
                <w:lang w:val="en-CA" w:eastAsia="en-CA"/>
              </w:rPr>
            </w:pPr>
            <w:r w:rsidRPr="000206BE">
              <w:rPr>
                <w:b/>
                <w:spacing w:val="-2"/>
                <w:sz w:val="20"/>
              </w:rPr>
              <w:t>$</w:t>
            </w:r>
          </w:p>
        </w:tc>
        <w:tc>
          <w:tcPr>
            <w:tcW w:w="1706" w:type="dxa"/>
            <w:tcBorders>
              <w:left w:val="nil"/>
              <w:bottom w:val="single" w:sz="4" w:space="0" w:color="auto"/>
              <w:right w:val="nil"/>
            </w:tcBorders>
            <w:shd w:val="clear" w:color="000000" w:fill="FFFFFF"/>
            <w:vAlign w:val="bottom"/>
          </w:tcPr>
          <w:p w14:paraId="2DD69D5B" w14:textId="33E4CD4A" w:rsidR="00586E8D" w:rsidRPr="00586E8D" w:rsidRDefault="00586E8D" w:rsidP="00D56CDC">
            <w:pPr>
              <w:widowControl/>
              <w:tabs>
                <w:tab w:val="decimal" w:pos="1131"/>
              </w:tabs>
              <w:jc w:val="right"/>
              <w:rPr>
                <w:bCs/>
                <w:sz w:val="20"/>
                <w:lang w:val="en-CA" w:eastAsia="en-CA"/>
              </w:rPr>
            </w:pPr>
            <w:r w:rsidRPr="00586E8D">
              <w:rPr>
                <w:bCs/>
                <w:spacing w:val="-2"/>
                <w:sz w:val="20"/>
              </w:rPr>
              <w:t>$</w:t>
            </w:r>
          </w:p>
        </w:tc>
      </w:tr>
      <w:tr w:rsidR="00586E8D" w:rsidRPr="000206BE" w14:paraId="6C8FA1E2" w14:textId="77777777" w:rsidTr="00D56CDC">
        <w:trPr>
          <w:trHeight w:val="288"/>
        </w:trPr>
        <w:tc>
          <w:tcPr>
            <w:tcW w:w="5940" w:type="dxa"/>
            <w:tcBorders>
              <w:top w:val="single" w:sz="4" w:space="0" w:color="auto"/>
              <w:left w:val="nil"/>
              <w:bottom w:val="nil"/>
            </w:tcBorders>
            <w:shd w:val="clear" w:color="000000" w:fill="FFFFFF"/>
            <w:noWrap/>
            <w:vAlign w:val="bottom"/>
          </w:tcPr>
          <w:p w14:paraId="70596B7F" w14:textId="139F1FD4" w:rsidR="00586E8D" w:rsidRPr="000206BE" w:rsidRDefault="00586E8D" w:rsidP="00D56CDC">
            <w:pPr>
              <w:widowControl/>
              <w:ind w:hanging="112"/>
              <w:rPr>
                <w:b/>
                <w:bCs/>
                <w:sz w:val="20"/>
                <w:lang w:val="en-CA" w:eastAsia="en-CA"/>
              </w:rPr>
            </w:pPr>
            <w:r w:rsidRPr="000206BE">
              <w:rPr>
                <w:b/>
                <w:bCs/>
                <w:sz w:val="20"/>
              </w:rPr>
              <w:t>Cash flows used in operating activities</w:t>
            </w:r>
          </w:p>
        </w:tc>
        <w:tc>
          <w:tcPr>
            <w:tcW w:w="1705" w:type="dxa"/>
            <w:tcBorders>
              <w:top w:val="single" w:sz="4" w:space="0" w:color="auto"/>
              <w:left w:val="nil"/>
              <w:bottom w:val="nil"/>
            </w:tcBorders>
            <w:shd w:val="clear" w:color="000000" w:fill="FFFFFF"/>
            <w:vAlign w:val="bottom"/>
          </w:tcPr>
          <w:p w14:paraId="317DE41E" w14:textId="77777777" w:rsidR="00586E8D" w:rsidRPr="000206BE" w:rsidRDefault="00586E8D" w:rsidP="00D56CDC">
            <w:pPr>
              <w:tabs>
                <w:tab w:val="decimal" w:pos="1070"/>
              </w:tabs>
              <w:ind w:hanging="112"/>
              <w:jc w:val="right"/>
              <w:rPr>
                <w:sz w:val="20"/>
                <w:highlight w:val="yellow"/>
                <w:lang w:val="en-CA" w:eastAsia="en-CA"/>
              </w:rPr>
            </w:pPr>
          </w:p>
        </w:tc>
        <w:tc>
          <w:tcPr>
            <w:tcW w:w="1706" w:type="dxa"/>
            <w:tcBorders>
              <w:top w:val="single" w:sz="4" w:space="0" w:color="auto"/>
              <w:left w:val="nil"/>
              <w:bottom w:val="nil"/>
              <w:right w:val="nil"/>
            </w:tcBorders>
            <w:shd w:val="clear" w:color="000000" w:fill="FFFFFF"/>
            <w:vAlign w:val="bottom"/>
          </w:tcPr>
          <w:p w14:paraId="45A52BD7" w14:textId="6BA456FD" w:rsidR="00586E8D" w:rsidRPr="00586E8D" w:rsidRDefault="00586E8D" w:rsidP="00D56CDC">
            <w:pPr>
              <w:tabs>
                <w:tab w:val="decimal" w:pos="1070"/>
              </w:tabs>
              <w:ind w:hanging="112"/>
              <w:jc w:val="right"/>
              <w:rPr>
                <w:bCs/>
                <w:sz w:val="20"/>
                <w:lang w:val="en-CA" w:eastAsia="en-CA"/>
              </w:rPr>
            </w:pPr>
          </w:p>
        </w:tc>
      </w:tr>
      <w:tr w:rsidR="00586E8D" w:rsidRPr="000206BE" w14:paraId="131272FE" w14:textId="77777777" w:rsidTr="00D56CDC">
        <w:trPr>
          <w:trHeight w:val="288"/>
        </w:trPr>
        <w:tc>
          <w:tcPr>
            <w:tcW w:w="5940" w:type="dxa"/>
            <w:tcBorders>
              <w:top w:val="nil"/>
              <w:left w:val="nil"/>
              <w:bottom w:val="nil"/>
            </w:tcBorders>
            <w:shd w:val="clear" w:color="000000" w:fill="FFFFFF"/>
            <w:noWrap/>
            <w:vAlign w:val="bottom"/>
          </w:tcPr>
          <w:p w14:paraId="5D423F94" w14:textId="28AF6A7E" w:rsidR="00586E8D" w:rsidRPr="000206BE" w:rsidRDefault="00586E8D" w:rsidP="00D56CDC">
            <w:pPr>
              <w:widowControl/>
              <w:ind w:firstLineChars="100" w:firstLine="200"/>
              <w:rPr>
                <w:sz w:val="20"/>
                <w:lang w:val="en-CA" w:eastAsia="en-CA"/>
              </w:rPr>
            </w:pPr>
            <w:r w:rsidRPr="000206BE">
              <w:rPr>
                <w:sz w:val="20"/>
                <w:lang w:val="en-CA" w:eastAsia="en-CA"/>
              </w:rPr>
              <w:t xml:space="preserve">Net </w:t>
            </w:r>
            <w:r w:rsidR="001B4228">
              <w:rPr>
                <w:sz w:val="20"/>
                <w:lang w:val="en-CA" w:eastAsia="en-CA"/>
              </w:rPr>
              <w:t>income (</w:t>
            </w:r>
            <w:r w:rsidRPr="000206BE">
              <w:rPr>
                <w:sz w:val="20"/>
                <w:lang w:val="en-CA" w:eastAsia="en-CA"/>
              </w:rPr>
              <w:t>loss</w:t>
            </w:r>
            <w:r w:rsidR="001B4228">
              <w:rPr>
                <w:sz w:val="20"/>
                <w:lang w:val="en-CA" w:eastAsia="en-CA"/>
              </w:rPr>
              <w:t>)</w:t>
            </w:r>
            <w:r w:rsidRPr="000206BE">
              <w:rPr>
                <w:sz w:val="20"/>
                <w:lang w:val="en-CA" w:eastAsia="en-CA"/>
              </w:rPr>
              <w:t xml:space="preserve"> and comprehensive </w:t>
            </w:r>
            <w:r w:rsidR="001B4228">
              <w:rPr>
                <w:sz w:val="20"/>
                <w:lang w:val="en-CA" w:eastAsia="en-CA"/>
              </w:rPr>
              <w:t>income (</w:t>
            </w:r>
            <w:r w:rsidRPr="000206BE">
              <w:rPr>
                <w:sz w:val="20"/>
                <w:lang w:val="en-CA" w:eastAsia="en-CA"/>
              </w:rPr>
              <w:t>loss</w:t>
            </w:r>
            <w:r w:rsidR="001B4228">
              <w:rPr>
                <w:sz w:val="20"/>
                <w:lang w:val="en-CA" w:eastAsia="en-CA"/>
              </w:rPr>
              <w:t>)</w:t>
            </w:r>
            <w:r w:rsidRPr="000206BE">
              <w:rPr>
                <w:sz w:val="20"/>
                <w:lang w:val="en-CA" w:eastAsia="en-CA"/>
              </w:rPr>
              <w:t xml:space="preserve"> for the </w:t>
            </w:r>
            <w:r w:rsidR="001B4228">
              <w:rPr>
                <w:sz w:val="20"/>
                <w:lang w:val="en-CA" w:eastAsia="en-CA"/>
              </w:rPr>
              <w:t>period</w:t>
            </w:r>
          </w:p>
        </w:tc>
        <w:tc>
          <w:tcPr>
            <w:tcW w:w="1705" w:type="dxa"/>
            <w:tcBorders>
              <w:top w:val="nil"/>
              <w:left w:val="nil"/>
              <w:bottom w:val="nil"/>
            </w:tcBorders>
            <w:shd w:val="clear" w:color="000000" w:fill="FFFFFF"/>
            <w:vAlign w:val="bottom"/>
          </w:tcPr>
          <w:p w14:paraId="518E00EF" w14:textId="1ADC49EB" w:rsidR="00586E8D" w:rsidRPr="003A426F" w:rsidRDefault="009974DE" w:rsidP="00D56CDC">
            <w:pPr>
              <w:ind w:hanging="112"/>
              <w:jc w:val="right"/>
              <w:rPr>
                <w:b/>
                <w:spacing w:val="-2"/>
                <w:sz w:val="20"/>
              </w:rPr>
            </w:pPr>
            <w:r w:rsidRPr="003A426F">
              <w:rPr>
                <w:b/>
                <w:spacing w:val="-2"/>
                <w:sz w:val="20"/>
              </w:rPr>
              <w:t>(</w:t>
            </w:r>
            <w:r w:rsidR="005C6813">
              <w:rPr>
                <w:b/>
                <w:spacing w:val="-2"/>
                <w:sz w:val="20"/>
              </w:rPr>
              <w:t>79,490</w:t>
            </w:r>
            <w:r w:rsidRPr="003A426F">
              <w:rPr>
                <w:b/>
                <w:spacing w:val="-2"/>
                <w:sz w:val="20"/>
              </w:rPr>
              <w:t>)</w:t>
            </w:r>
          </w:p>
        </w:tc>
        <w:tc>
          <w:tcPr>
            <w:tcW w:w="1706" w:type="dxa"/>
            <w:tcBorders>
              <w:top w:val="nil"/>
              <w:left w:val="nil"/>
              <w:bottom w:val="nil"/>
              <w:right w:val="nil"/>
            </w:tcBorders>
            <w:shd w:val="clear" w:color="000000" w:fill="FFFFFF"/>
            <w:vAlign w:val="bottom"/>
          </w:tcPr>
          <w:p w14:paraId="4FC6A771" w14:textId="28D6395D" w:rsidR="00586E8D" w:rsidRPr="00D56CDC" w:rsidRDefault="001B4228" w:rsidP="00D56CDC">
            <w:pPr>
              <w:tabs>
                <w:tab w:val="decimal" w:pos="1131"/>
              </w:tabs>
              <w:ind w:right="-73" w:hanging="112"/>
              <w:jc w:val="right"/>
              <w:rPr>
                <w:bCs/>
                <w:spacing w:val="-2"/>
                <w:sz w:val="20"/>
              </w:rPr>
            </w:pPr>
            <w:r>
              <w:rPr>
                <w:bCs/>
                <w:spacing w:val="-2"/>
                <w:sz w:val="20"/>
              </w:rPr>
              <w:t>234,543</w:t>
            </w:r>
          </w:p>
        </w:tc>
      </w:tr>
      <w:tr w:rsidR="00586E8D" w:rsidRPr="000206BE" w14:paraId="1DFB8F6A" w14:textId="77777777" w:rsidTr="00D56CDC">
        <w:trPr>
          <w:trHeight w:val="288"/>
        </w:trPr>
        <w:tc>
          <w:tcPr>
            <w:tcW w:w="5940" w:type="dxa"/>
            <w:tcBorders>
              <w:top w:val="nil"/>
              <w:left w:val="nil"/>
              <w:bottom w:val="nil"/>
            </w:tcBorders>
            <w:shd w:val="clear" w:color="000000" w:fill="FFFFFF"/>
            <w:noWrap/>
            <w:vAlign w:val="bottom"/>
          </w:tcPr>
          <w:p w14:paraId="45D2450D" w14:textId="77777777" w:rsidR="00586E8D" w:rsidRPr="000206BE" w:rsidRDefault="00586E8D" w:rsidP="00D56CDC">
            <w:pPr>
              <w:widowControl/>
              <w:ind w:firstLineChars="100" w:firstLine="200"/>
              <w:rPr>
                <w:sz w:val="20"/>
                <w:lang w:val="en-CA" w:eastAsia="en-CA"/>
              </w:rPr>
            </w:pPr>
            <w:r w:rsidRPr="000206BE">
              <w:rPr>
                <w:sz w:val="20"/>
                <w:lang w:val="en-CA" w:eastAsia="en-CA"/>
              </w:rPr>
              <w:t>Adjustments for items not involving cash:</w:t>
            </w:r>
          </w:p>
        </w:tc>
        <w:tc>
          <w:tcPr>
            <w:tcW w:w="1705" w:type="dxa"/>
            <w:tcBorders>
              <w:top w:val="nil"/>
              <w:left w:val="nil"/>
            </w:tcBorders>
            <w:shd w:val="clear" w:color="000000" w:fill="FFFFFF"/>
            <w:vAlign w:val="bottom"/>
          </w:tcPr>
          <w:p w14:paraId="2EAFE834" w14:textId="77777777" w:rsidR="00586E8D" w:rsidRPr="00D56CDC" w:rsidRDefault="00586E8D" w:rsidP="00D56CDC">
            <w:pPr>
              <w:ind w:hanging="112"/>
              <w:jc w:val="right"/>
              <w:rPr>
                <w:b/>
                <w:spacing w:val="-2"/>
                <w:sz w:val="20"/>
              </w:rPr>
            </w:pPr>
          </w:p>
        </w:tc>
        <w:tc>
          <w:tcPr>
            <w:tcW w:w="1706" w:type="dxa"/>
            <w:tcBorders>
              <w:top w:val="nil"/>
              <w:left w:val="nil"/>
              <w:right w:val="nil"/>
            </w:tcBorders>
            <w:shd w:val="clear" w:color="000000" w:fill="FFFFFF"/>
            <w:vAlign w:val="bottom"/>
          </w:tcPr>
          <w:p w14:paraId="2D6BDC9F" w14:textId="77777777" w:rsidR="00586E8D" w:rsidRPr="00D56CDC" w:rsidRDefault="00586E8D" w:rsidP="00D56CDC">
            <w:pPr>
              <w:tabs>
                <w:tab w:val="decimal" w:pos="1131"/>
              </w:tabs>
              <w:ind w:right="-73" w:hanging="112"/>
              <w:jc w:val="right"/>
              <w:rPr>
                <w:bCs/>
                <w:spacing w:val="-2"/>
                <w:sz w:val="20"/>
              </w:rPr>
            </w:pPr>
          </w:p>
        </w:tc>
      </w:tr>
      <w:tr w:rsidR="009974DE" w:rsidRPr="000206BE" w14:paraId="5ECAD05A" w14:textId="77777777" w:rsidTr="00D56CDC">
        <w:trPr>
          <w:trHeight w:val="288"/>
        </w:trPr>
        <w:tc>
          <w:tcPr>
            <w:tcW w:w="5940" w:type="dxa"/>
            <w:tcBorders>
              <w:top w:val="nil"/>
              <w:left w:val="nil"/>
            </w:tcBorders>
            <w:shd w:val="clear" w:color="000000" w:fill="FFFFFF"/>
            <w:noWrap/>
            <w:vAlign w:val="bottom"/>
          </w:tcPr>
          <w:p w14:paraId="10C2C146" w14:textId="4745B3DA" w:rsidR="009974DE" w:rsidRPr="000206BE" w:rsidRDefault="009974DE" w:rsidP="00D56CDC">
            <w:pPr>
              <w:widowControl/>
              <w:ind w:firstLineChars="197" w:firstLine="394"/>
              <w:rPr>
                <w:sz w:val="20"/>
                <w:lang w:val="en-CA" w:eastAsia="en-CA"/>
              </w:rPr>
            </w:pPr>
            <w:r w:rsidRPr="009974DE">
              <w:rPr>
                <w:sz w:val="20"/>
                <w:lang w:val="en-CA" w:eastAsia="en-CA"/>
              </w:rPr>
              <w:t xml:space="preserve">Unrealized </w:t>
            </w:r>
            <w:r w:rsidR="00D514C0">
              <w:rPr>
                <w:sz w:val="20"/>
                <w:lang w:val="en-CA" w:eastAsia="en-CA"/>
              </w:rPr>
              <w:t xml:space="preserve">gain on </w:t>
            </w:r>
            <w:r w:rsidR="00591729">
              <w:rPr>
                <w:sz w:val="20"/>
                <w:lang w:val="en-CA" w:eastAsia="en-CA"/>
              </w:rPr>
              <w:t>marketable securities</w:t>
            </w:r>
          </w:p>
        </w:tc>
        <w:tc>
          <w:tcPr>
            <w:tcW w:w="1705" w:type="dxa"/>
            <w:tcBorders>
              <w:top w:val="nil"/>
              <w:left w:val="nil"/>
            </w:tcBorders>
            <w:shd w:val="clear" w:color="000000" w:fill="FFFFFF"/>
            <w:vAlign w:val="bottom"/>
          </w:tcPr>
          <w:p w14:paraId="1A7D4418" w14:textId="31CEE29E" w:rsidR="009974DE" w:rsidRPr="000206BE" w:rsidDel="00DB3CE1" w:rsidRDefault="00D514C0" w:rsidP="00D56CDC">
            <w:pPr>
              <w:ind w:hanging="112"/>
              <w:jc w:val="right"/>
              <w:rPr>
                <w:b/>
                <w:spacing w:val="-2"/>
                <w:sz w:val="20"/>
              </w:rPr>
            </w:pPr>
            <w:r>
              <w:rPr>
                <w:b/>
                <w:spacing w:val="-2"/>
                <w:sz w:val="20"/>
              </w:rPr>
              <w:t>(</w:t>
            </w:r>
            <w:r w:rsidR="007F42C0">
              <w:rPr>
                <w:b/>
                <w:spacing w:val="-2"/>
                <w:sz w:val="20"/>
              </w:rPr>
              <w:t>48,690</w:t>
            </w:r>
            <w:r>
              <w:rPr>
                <w:b/>
                <w:spacing w:val="-2"/>
                <w:sz w:val="20"/>
              </w:rPr>
              <w:t>)</w:t>
            </w:r>
          </w:p>
        </w:tc>
        <w:tc>
          <w:tcPr>
            <w:tcW w:w="1706" w:type="dxa"/>
            <w:tcBorders>
              <w:top w:val="nil"/>
              <w:left w:val="nil"/>
              <w:right w:val="nil"/>
            </w:tcBorders>
            <w:shd w:val="clear" w:color="000000" w:fill="FFFFFF"/>
            <w:vAlign w:val="bottom"/>
          </w:tcPr>
          <w:p w14:paraId="52A9FFE5" w14:textId="378E9941" w:rsidR="009974DE" w:rsidRPr="00586E8D" w:rsidRDefault="00C66EA3" w:rsidP="00D56CDC">
            <w:pPr>
              <w:tabs>
                <w:tab w:val="decimal" w:pos="1131"/>
              </w:tabs>
              <w:ind w:right="-73" w:hanging="112"/>
              <w:jc w:val="right"/>
              <w:rPr>
                <w:bCs/>
                <w:spacing w:val="-2"/>
                <w:sz w:val="20"/>
              </w:rPr>
            </w:pPr>
            <w:r>
              <w:rPr>
                <w:bCs/>
                <w:spacing w:val="-2"/>
                <w:sz w:val="20"/>
              </w:rPr>
              <w:t>-</w:t>
            </w:r>
          </w:p>
        </w:tc>
      </w:tr>
      <w:tr w:rsidR="007F42C0" w:rsidRPr="000206BE" w14:paraId="7C1F5A91" w14:textId="77777777" w:rsidTr="00D56CDC">
        <w:trPr>
          <w:trHeight w:val="288"/>
        </w:trPr>
        <w:tc>
          <w:tcPr>
            <w:tcW w:w="5940" w:type="dxa"/>
            <w:tcBorders>
              <w:top w:val="nil"/>
              <w:left w:val="nil"/>
            </w:tcBorders>
            <w:shd w:val="clear" w:color="000000" w:fill="FFFFFF"/>
            <w:noWrap/>
            <w:vAlign w:val="bottom"/>
          </w:tcPr>
          <w:p w14:paraId="29E1D9EF" w14:textId="79E03DD8" w:rsidR="007F42C0" w:rsidRPr="009974DE" w:rsidRDefault="007F42C0" w:rsidP="00D56CDC">
            <w:pPr>
              <w:widowControl/>
              <w:ind w:firstLineChars="197" w:firstLine="394"/>
              <w:rPr>
                <w:sz w:val="20"/>
                <w:lang w:val="en-CA" w:eastAsia="en-CA"/>
              </w:rPr>
            </w:pPr>
            <w:r>
              <w:rPr>
                <w:sz w:val="20"/>
                <w:lang w:val="en-CA" w:eastAsia="en-CA"/>
              </w:rPr>
              <w:t xml:space="preserve">Realized gain on </w:t>
            </w:r>
            <w:r w:rsidR="00591729">
              <w:rPr>
                <w:sz w:val="20"/>
                <w:lang w:val="en-CA" w:eastAsia="en-CA"/>
              </w:rPr>
              <w:t>sale of marketable securities</w:t>
            </w:r>
          </w:p>
        </w:tc>
        <w:tc>
          <w:tcPr>
            <w:tcW w:w="1705" w:type="dxa"/>
            <w:tcBorders>
              <w:top w:val="nil"/>
              <w:left w:val="nil"/>
            </w:tcBorders>
            <w:shd w:val="clear" w:color="000000" w:fill="FFFFFF"/>
            <w:vAlign w:val="bottom"/>
          </w:tcPr>
          <w:p w14:paraId="5872636A" w14:textId="63EF3930" w:rsidR="007F42C0" w:rsidRDefault="007F42C0" w:rsidP="00D56CDC">
            <w:pPr>
              <w:ind w:hanging="112"/>
              <w:jc w:val="right"/>
              <w:rPr>
                <w:b/>
                <w:spacing w:val="-2"/>
                <w:sz w:val="20"/>
              </w:rPr>
            </w:pPr>
            <w:r>
              <w:rPr>
                <w:b/>
                <w:spacing w:val="-2"/>
                <w:sz w:val="20"/>
              </w:rPr>
              <w:t>(49,478)</w:t>
            </w:r>
          </w:p>
        </w:tc>
        <w:tc>
          <w:tcPr>
            <w:tcW w:w="1706" w:type="dxa"/>
            <w:tcBorders>
              <w:top w:val="nil"/>
              <w:left w:val="nil"/>
              <w:right w:val="nil"/>
            </w:tcBorders>
            <w:shd w:val="clear" w:color="000000" w:fill="FFFFFF"/>
            <w:vAlign w:val="bottom"/>
          </w:tcPr>
          <w:p w14:paraId="375CBF30" w14:textId="6B71CE5C" w:rsidR="007F42C0" w:rsidRDefault="007F42C0" w:rsidP="00D56CDC">
            <w:pPr>
              <w:tabs>
                <w:tab w:val="decimal" w:pos="1131"/>
              </w:tabs>
              <w:ind w:right="-73" w:hanging="112"/>
              <w:jc w:val="right"/>
              <w:rPr>
                <w:bCs/>
                <w:spacing w:val="-2"/>
                <w:sz w:val="20"/>
              </w:rPr>
            </w:pPr>
            <w:r>
              <w:rPr>
                <w:bCs/>
                <w:spacing w:val="-2"/>
                <w:sz w:val="20"/>
              </w:rPr>
              <w:t>-</w:t>
            </w:r>
          </w:p>
        </w:tc>
      </w:tr>
      <w:tr w:rsidR="00586E8D" w:rsidRPr="000206BE" w14:paraId="0591FC6E" w14:textId="77777777" w:rsidTr="00DE2E41">
        <w:trPr>
          <w:trHeight w:val="288"/>
        </w:trPr>
        <w:tc>
          <w:tcPr>
            <w:tcW w:w="5940" w:type="dxa"/>
            <w:tcBorders>
              <w:top w:val="nil"/>
              <w:left w:val="nil"/>
            </w:tcBorders>
            <w:shd w:val="clear" w:color="000000" w:fill="FFFFFF"/>
            <w:noWrap/>
            <w:vAlign w:val="bottom"/>
          </w:tcPr>
          <w:p w14:paraId="79D8F27C" w14:textId="77777777" w:rsidR="00586E8D" w:rsidRPr="00D1270F" w:rsidRDefault="00586E8D" w:rsidP="00D56CDC">
            <w:pPr>
              <w:widowControl/>
              <w:ind w:firstLineChars="197" w:firstLine="355"/>
              <w:rPr>
                <w:sz w:val="20"/>
                <w:lang w:val="en-CA" w:eastAsia="en-CA"/>
              </w:rPr>
            </w:pPr>
            <w:r>
              <w:rPr>
                <w:sz w:val="18"/>
                <w:szCs w:val="18"/>
                <w:lang w:val="en-CA" w:eastAsia="en-CA"/>
              </w:rPr>
              <w:t xml:space="preserve"> </w:t>
            </w:r>
            <w:r w:rsidRPr="00D1270F">
              <w:rPr>
                <w:sz w:val="20"/>
                <w:lang w:val="en-CA" w:eastAsia="en-CA"/>
              </w:rPr>
              <w:t>Flow-through liability reversal</w:t>
            </w:r>
          </w:p>
        </w:tc>
        <w:tc>
          <w:tcPr>
            <w:tcW w:w="1705" w:type="dxa"/>
            <w:tcBorders>
              <w:top w:val="nil"/>
              <w:left w:val="nil"/>
            </w:tcBorders>
            <w:shd w:val="clear" w:color="000000" w:fill="FFFFFF"/>
            <w:vAlign w:val="bottom"/>
          </w:tcPr>
          <w:p w14:paraId="12DB755D" w14:textId="129BC444" w:rsidR="00586E8D" w:rsidRPr="000206BE" w:rsidRDefault="00D514C0" w:rsidP="00D56CDC">
            <w:pPr>
              <w:ind w:hanging="112"/>
              <w:jc w:val="right"/>
              <w:rPr>
                <w:b/>
                <w:spacing w:val="-2"/>
                <w:sz w:val="20"/>
              </w:rPr>
            </w:pPr>
            <w:r>
              <w:rPr>
                <w:b/>
                <w:spacing w:val="-2"/>
                <w:sz w:val="20"/>
              </w:rPr>
              <w:t>(31,201)</w:t>
            </w:r>
          </w:p>
        </w:tc>
        <w:tc>
          <w:tcPr>
            <w:tcW w:w="1706" w:type="dxa"/>
            <w:tcBorders>
              <w:top w:val="nil"/>
              <w:left w:val="nil"/>
              <w:right w:val="nil"/>
            </w:tcBorders>
            <w:shd w:val="clear" w:color="000000" w:fill="FFFFFF"/>
            <w:vAlign w:val="bottom"/>
          </w:tcPr>
          <w:p w14:paraId="08321D12" w14:textId="46CCE716" w:rsidR="00586E8D" w:rsidRPr="00586E8D" w:rsidRDefault="001B4228" w:rsidP="00D56CDC">
            <w:pPr>
              <w:tabs>
                <w:tab w:val="decimal" w:pos="1131"/>
              </w:tabs>
              <w:ind w:right="-73" w:hanging="112"/>
              <w:jc w:val="right"/>
              <w:rPr>
                <w:bCs/>
                <w:spacing w:val="-2"/>
                <w:sz w:val="20"/>
              </w:rPr>
            </w:pPr>
            <w:r>
              <w:rPr>
                <w:bCs/>
                <w:spacing w:val="-2"/>
                <w:sz w:val="20"/>
              </w:rPr>
              <w:t>(439,118)</w:t>
            </w:r>
          </w:p>
        </w:tc>
      </w:tr>
      <w:tr w:rsidR="00586E8D" w:rsidRPr="000206BE" w14:paraId="37C34B53" w14:textId="77777777" w:rsidTr="00DE2E41">
        <w:trPr>
          <w:trHeight w:val="288"/>
        </w:trPr>
        <w:tc>
          <w:tcPr>
            <w:tcW w:w="5940" w:type="dxa"/>
            <w:tcBorders>
              <w:left w:val="nil"/>
            </w:tcBorders>
            <w:shd w:val="clear" w:color="000000" w:fill="FFFFFF"/>
            <w:noWrap/>
            <w:vAlign w:val="bottom"/>
          </w:tcPr>
          <w:p w14:paraId="4938D3E8" w14:textId="77777777" w:rsidR="00586E8D" w:rsidRPr="000206BE" w:rsidRDefault="00586E8D" w:rsidP="00D56CDC">
            <w:pPr>
              <w:widowControl/>
              <w:ind w:firstLineChars="197" w:firstLine="394"/>
              <w:rPr>
                <w:sz w:val="20"/>
                <w:lang w:val="en-CA" w:eastAsia="en-CA"/>
              </w:rPr>
            </w:pPr>
          </w:p>
        </w:tc>
        <w:tc>
          <w:tcPr>
            <w:tcW w:w="1705" w:type="dxa"/>
            <w:tcBorders>
              <w:left w:val="nil"/>
            </w:tcBorders>
            <w:shd w:val="clear" w:color="000000" w:fill="FFFFFF"/>
            <w:vAlign w:val="bottom"/>
          </w:tcPr>
          <w:p w14:paraId="2426450C" w14:textId="13F5CDE7" w:rsidR="00586E8D" w:rsidRPr="00D56CDC" w:rsidRDefault="00586E8D" w:rsidP="00D56CDC">
            <w:pPr>
              <w:ind w:hanging="112"/>
              <w:jc w:val="right"/>
              <w:rPr>
                <w:b/>
                <w:spacing w:val="-2"/>
                <w:sz w:val="20"/>
              </w:rPr>
            </w:pPr>
          </w:p>
        </w:tc>
        <w:tc>
          <w:tcPr>
            <w:tcW w:w="1706" w:type="dxa"/>
            <w:tcBorders>
              <w:left w:val="nil"/>
              <w:right w:val="nil"/>
            </w:tcBorders>
            <w:shd w:val="clear" w:color="000000" w:fill="FFFFFF"/>
            <w:vAlign w:val="bottom"/>
          </w:tcPr>
          <w:p w14:paraId="6B33A810" w14:textId="57E8D482" w:rsidR="00586E8D" w:rsidRPr="00D56CDC" w:rsidRDefault="00586E8D" w:rsidP="00D56CDC">
            <w:pPr>
              <w:tabs>
                <w:tab w:val="decimal" w:pos="1131"/>
              </w:tabs>
              <w:ind w:right="-73" w:hanging="112"/>
              <w:jc w:val="right"/>
              <w:rPr>
                <w:bCs/>
                <w:spacing w:val="-2"/>
                <w:sz w:val="20"/>
              </w:rPr>
            </w:pPr>
          </w:p>
        </w:tc>
      </w:tr>
      <w:tr w:rsidR="00D1270F" w:rsidRPr="000206BE" w14:paraId="6DBF381E" w14:textId="77777777" w:rsidTr="00D56CDC">
        <w:trPr>
          <w:trHeight w:val="288"/>
        </w:trPr>
        <w:tc>
          <w:tcPr>
            <w:tcW w:w="5940" w:type="dxa"/>
            <w:tcBorders>
              <w:left w:val="nil"/>
              <w:bottom w:val="nil"/>
            </w:tcBorders>
            <w:shd w:val="clear" w:color="000000" w:fill="FFFFFF"/>
            <w:noWrap/>
            <w:vAlign w:val="bottom"/>
          </w:tcPr>
          <w:p w14:paraId="5A2D7D00" w14:textId="77777777" w:rsidR="00D1270F" w:rsidRPr="000206BE" w:rsidRDefault="00D1270F" w:rsidP="00D56CDC">
            <w:pPr>
              <w:widowControl/>
              <w:ind w:firstLineChars="100" w:firstLine="200"/>
              <w:rPr>
                <w:sz w:val="20"/>
                <w:lang w:val="en-CA" w:eastAsia="en-CA"/>
              </w:rPr>
            </w:pPr>
            <w:r w:rsidRPr="000206BE">
              <w:rPr>
                <w:sz w:val="20"/>
                <w:lang w:val="en-CA" w:eastAsia="en-CA"/>
              </w:rPr>
              <w:t>Changes in non-cash working capital ite</w:t>
            </w:r>
            <w:r>
              <w:rPr>
                <w:sz w:val="20"/>
                <w:lang w:val="en-CA" w:eastAsia="en-CA"/>
              </w:rPr>
              <w:t>m</w:t>
            </w:r>
            <w:r w:rsidRPr="000206BE">
              <w:rPr>
                <w:sz w:val="20"/>
                <w:lang w:val="en-CA" w:eastAsia="en-CA"/>
              </w:rPr>
              <w:t>s:</w:t>
            </w:r>
          </w:p>
        </w:tc>
        <w:tc>
          <w:tcPr>
            <w:tcW w:w="1705" w:type="dxa"/>
            <w:tcBorders>
              <w:left w:val="nil"/>
              <w:bottom w:val="nil"/>
            </w:tcBorders>
            <w:shd w:val="clear" w:color="000000" w:fill="FFFFFF"/>
            <w:vAlign w:val="bottom"/>
          </w:tcPr>
          <w:p w14:paraId="1E215EA4" w14:textId="77777777" w:rsidR="00D1270F" w:rsidRPr="00D56CDC" w:rsidRDefault="00D1270F" w:rsidP="00D56CDC">
            <w:pPr>
              <w:ind w:hanging="112"/>
              <w:jc w:val="right"/>
              <w:rPr>
                <w:b/>
                <w:spacing w:val="-2"/>
                <w:sz w:val="20"/>
              </w:rPr>
            </w:pPr>
          </w:p>
        </w:tc>
        <w:tc>
          <w:tcPr>
            <w:tcW w:w="1706" w:type="dxa"/>
            <w:tcBorders>
              <w:left w:val="nil"/>
              <w:bottom w:val="nil"/>
              <w:right w:val="nil"/>
            </w:tcBorders>
            <w:shd w:val="clear" w:color="000000" w:fill="FFFFFF"/>
            <w:vAlign w:val="bottom"/>
          </w:tcPr>
          <w:p w14:paraId="013873CD" w14:textId="77777777" w:rsidR="00D1270F" w:rsidRPr="00D56CDC" w:rsidRDefault="00D1270F" w:rsidP="00D56CDC">
            <w:pPr>
              <w:tabs>
                <w:tab w:val="decimal" w:pos="1131"/>
              </w:tabs>
              <w:ind w:right="-73" w:hanging="112"/>
              <w:jc w:val="right"/>
              <w:rPr>
                <w:bCs/>
                <w:spacing w:val="-2"/>
                <w:sz w:val="20"/>
              </w:rPr>
            </w:pPr>
          </w:p>
        </w:tc>
      </w:tr>
      <w:tr w:rsidR="00586E8D" w:rsidRPr="000206BE" w14:paraId="54C8D599" w14:textId="77777777" w:rsidTr="00D56CDC">
        <w:trPr>
          <w:trHeight w:val="288"/>
        </w:trPr>
        <w:tc>
          <w:tcPr>
            <w:tcW w:w="5940" w:type="dxa"/>
            <w:tcBorders>
              <w:top w:val="nil"/>
              <w:left w:val="nil"/>
              <w:bottom w:val="nil"/>
            </w:tcBorders>
            <w:shd w:val="clear" w:color="000000" w:fill="FFFFFF"/>
            <w:noWrap/>
            <w:vAlign w:val="bottom"/>
          </w:tcPr>
          <w:p w14:paraId="5BD8BD07" w14:textId="211AB19F" w:rsidR="00586E8D" w:rsidRPr="000206BE" w:rsidRDefault="004602D5" w:rsidP="00D56CDC">
            <w:pPr>
              <w:widowControl/>
              <w:ind w:firstLineChars="200" w:firstLine="400"/>
              <w:rPr>
                <w:sz w:val="20"/>
                <w:lang w:val="en-CA" w:eastAsia="en-CA"/>
              </w:rPr>
            </w:pPr>
            <w:r>
              <w:rPr>
                <w:sz w:val="20"/>
                <w:lang w:val="en-CA" w:eastAsia="en-CA"/>
              </w:rPr>
              <w:t>Change</w:t>
            </w:r>
            <w:r w:rsidRPr="000206BE">
              <w:rPr>
                <w:sz w:val="20"/>
                <w:lang w:val="en-CA" w:eastAsia="en-CA"/>
              </w:rPr>
              <w:t xml:space="preserve"> </w:t>
            </w:r>
            <w:r w:rsidR="00586E8D" w:rsidRPr="000206BE">
              <w:rPr>
                <w:sz w:val="20"/>
                <w:lang w:val="en-CA" w:eastAsia="en-CA"/>
              </w:rPr>
              <w:t>in other receivable</w:t>
            </w:r>
            <w:r w:rsidR="00DE2E41">
              <w:rPr>
                <w:sz w:val="20"/>
                <w:lang w:val="en-CA" w:eastAsia="en-CA"/>
              </w:rPr>
              <w:t>s</w:t>
            </w:r>
          </w:p>
        </w:tc>
        <w:tc>
          <w:tcPr>
            <w:tcW w:w="1705" w:type="dxa"/>
            <w:tcBorders>
              <w:top w:val="nil"/>
              <w:left w:val="nil"/>
              <w:bottom w:val="nil"/>
            </w:tcBorders>
            <w:shd w:val="clear" w:color="000000" w:fill="FFFFFF"/>
            <w:vAlign w:val="bottom"/>
          </w:tcPr>
          <w:p w14:paraId="24D88ABD" w14:textId="61B57E98" w:rsidR="00586E8D" w:rsidRPr="000206BE" w:rsidRDefault="00D514C0" w:rsidP="00D56CDC">
            <w:pPr>
              <w:ind w:hanging="112"/>
              <w:jc w:val="right"/>
              <w:rPr>
                <w:b/>
                <w:spacing w:val="-2"/>
                <w:sz w:val="20"/>
              </w:rPr>
            </w:pPr>
            <w:r>
              <w:rPr>
                <w:b/>
                <w:spacing w:val="-2"/>
                <w:sz w:val="20"/>
              </w:rPr>
              <w:t>34,935</w:t>
            </w:r>
          </w:p>
        </w:tc>
        <w:tc>
          <w:tcPr>
            <w:tcW w:w="1706" w:type="dxa"/>
            <w:tcBorders>
              <w:top w:val="nil"/>
              <w:left w:val="nil"/>
              <w:bottom w:val="nil"/>
              <w:right w:val="nil"/>
            </w:tcBorders>
            <w:shd w:val="clear" w:color="000000" w:fill="FFFFFF"/>
            <w:vAlign w:val="bottom"/>
          </w:tcPr>
          <w:p w14:paraId="224F3C4B" w14:textId="6A1C8231" w:rsidR="00586E8D" w:rsidRPr="00D56CDC" w:rsidRDefault="001B4228" w:rsidP="00D56CDC">
            <w:pPr>
              <w:tabs>
                <w:tab w:val="decimal" w:pos="1131"/>
              </w:tabs>
              <w:ind w:right="-73" w:hanging="112"/>
              <w:jc w:val="right"/>
              <w:rPr>
                <w:bCs/>
                <w:spacing w:val="-2"/>
                <w:sz w:val="20"/>
              </w:rPr>
            </w:pPr>
            <w:r>
              <w:rPr>
                <w:bCs/>
                <w:spacing w:val="-2"/>
                <w:sz w:val="20"/>
              </w:rPr>
              <w:t>75,845</w:t>
            </w:r>
          </w:p>
        </w:tc>
      </w:tr>
      <w:tr w:rsidR="00586E8D" w:rsidRPr="000206BE" w14:paraId="005C1F3E" w14:textId="77777777" w:rsidTr="00D56CDC">
        <w:trPr>
          <w:trHeight w:val="288"/>
        </w:trPr>
        <w:tc>
          <w:tcPr>
            <w:tcW w:w="5940" w:type="dxa"/>
            <w:tcBorders>
              <w:top w:val="nil"/>
              <w:left w:val="nil"/>
            </w:tcBorders>
            <w:shd w:val="clear" w:color="000000" w:fill="FFFFFF"/>
            <w:noWrap/>
            <w:vAlign w:val="bottom"/>
          </w:tcPr>
          <w:p w14:paraId="37B72BF2" w14:textId="2776BDC5" w:rsidR="00586E8D" w:rsidRPr="000206BE" w:rsidRDefault="004602D5" w:rsidP="00D56CDC">
            <w:pPr>
              <w:widowControl/>
              <w:ind w:firstLineChars="200" w:firstLine="400"/>
              <w:rPr>
                <w:sz w:val="20"/>
                <w:lang w:val="en-CA" w:eastAsia="en-CA"/>
              </w:rPr>
            </w:pPr>
            <w:r>
              <w:rPr>
                <w:sz w:val="20"/>
                <w:lang w:val="en-CA" w:eastAsia="en-CA"/>
              </w:rPr>
              <w:t>Change</w:t>
            </w:r>
            <w:r w:rsidR="00586E8D" w:rsidRPr="000206BE">
              <w:rPr>
                <w:sz w:val="20"/>
                <w:lang w:val="en-CA" w:eastAsia="en-CA"/>
              </w:rPr>
              <w:t xml:space="preserve"> in prepaid expenses</w:t>
            </w:r>
          </w:p>
        </w:tc>
        <w:tc>
          <w:tcPr>
            <w:tcW w:w="1705" w:type="dxa"/>
            <w:tcBorders>
              <w:top w:val="nil"/>
              <w:left w:val="nil"/>
            </w:tcBorders>
            <w:shd w:val="clear" w:color="000000" w:fill="FFFFFF"/>
            <w:vAlign w:val="bottom"/>
          </w:tcPr>
          <w:p w14:paraId="091DA2D5" w14:textId="154F6F6F" w:rsidR="00586E8D" w:rsidRPr="000206BE" w:rsidRDefault="00D514C0" w:rsidP="00D56CDC">
            <w:pPr>
              <w:ind w:hanging="112"/>
              <w:jc w:val="right"/>
              <w:rPr>
                <w:b/>
                <w:spacing w:val="-2"/>
                <w:sz w:val="20"/>
              </w:rPr>
            </w:pPr>
            <w:r>
              <w:rPr>
                <w:b/>
                <w:spacing w:val="-2"/>
                <w:sz w:val="20"/>
              </w:rPr>
              <w:t>7,521</w:t>
            </w:r>
          </w:p>
        </w:tc>
        <w:tc>
          <w:tcPr>
            <w:tcW w:w="1706" w:type="dxa"/>
            <w:tcBorders>
              <w:top w:val="nil"/>
              <w:left w:val="nil"/>
              <w:right w:val="nil"/>
            </w:tcBorders>
            <w:shd w:val="clear" w:color="000000" w:fill="FFFFFF"/>
            <w:vAlign w:val="bottom"/>
          </w:tcPr>
          <w:p w14:paraId="50FC7688" w14:textId="35F01B94" w:rsidR="00586E8D" w:rsidRPr="00D56CDC" w:rsidRDefault="001B4228" w:rsidP="00D56CDC">
            <w:pPr>
              <w:tabs>
                <w:tab w:val="decimal" w:pos="1131"/>
              </w:tabs>
              <w:ind w:right="-73" w:hanging="112"/>
              <w:jc w:val="right"/>
              <w:rPr>
                <w:bCs/>
                <w:spacing w:val="-2"/>
                <w:sz w:val="20"/>
              </w:rPr>
            </w:pPr>
            <w:r>
              <w:rPr>
                <w:bCs/>
                <w:spacing w:val="-2"/>
                <w:sz w:val="20"/>
              </w:rPr>
              <w:t>12,277</w:t>
            </w:r>
          </w:p>
        </w:tc>
      </w:tr>
      <w:tr w:rsidR="00586E8D" w:rsidRPr="000206BE" w14:paraId="3D7878D2" w14:textId="77777777" w:rsidTr="00D56CDC">
        <w:trPr>
          <w:trHeight w:val="288"/>
        </w:trPr>
        <w:tc>
          <w:tcPr>
            <w:tcW w:w="5940" w:type="dxa"/>
            <w:tcBorders>
              <w:top w:val="nil"/>
              <w:left w:val="nil"/>
            </w:tcBorders>
            <w:shd w:val="clear" w:color="000000" w:fill="FFFFFF"/>
            <w:noWrap/>
            <w:vAlign w:val="bottom"/>
          </w:tcPr>
          <w:p w14:paraId="69274D36" w14:textId="115AFC0C" w:rsidR="00586E8D" w:rsidRPr="000206BE" w:rsidRDefault="004602D5" w:rsidP="004602D5">
            <w:pPr>
              <w:widowControl/>
              <w:ind w:firstLineChars="200" w:firstLine="400"/>
              <w:rPr>
                <w:sz w:val="20"/>
                <w:lang w:val="en-CA" w:eastAsia="en-CA"/>
              </w:rPr>
            </w:pPr>
            <w:r>
              <w:rPr>
                <w:sz w:val="20"/>
                <w:lang w:val="en-CA" w:eastAsia="en-CA"/>
              </w:rPr>
              <w:t>Change</w:t>
            </w:r>
            <w:r w:rsidR="00586E8D" w:rsidRPr="000206BE">
              <w:rPr>
                <w:sz w:val="20"/>
                <w:lang w:val="en-CA" w:eastAsia="en-CA"/>
              </w:rPr>
              <w:t xml:space="preserve"> in accounts payable and accrued liabilities</w:t>
            </w:r>
          </w:p>
        </w:tc>
        <w:tc>
          <w:tcPr>
            <w:tcW w:w="1705" w:type="dxa"/>
            <w:tcBorders>
              <w:top w:val="nil"/>
              <w:left w:val="nil"/>
            </w:tcBorders>
            <w:shd w:val="clear" w:color="000000" w:fill="FFFFFF"/>
            <w:vAlign w:val="bottom"/>
          </w:tcPr>
          <w:p w14:paraId="23C9F998" w14:textId="68D8A056" w:rsidR="00586E8D" w:rsidRPr="00D56CDC" w:rsidRDefault="00D514C0" w:rsidP="00D56CDC">
            <w:pPr>
              <w:ind w:hanging="112"/>
              <w:jc w:val="right"/>
              <w:rPr>
                <w:b/>
                <w:spacing w:val="-2"/>
                <w:sz w:val="20"/>
              </w:rPr>
            </w:pPr>
            <w:r>
              <w:rPr>
                <w:b/>
                <w:spacing w:val="-2"/>
                <w:sz w:val="20"/>
              </w:rPr>
              <w:t>(69,04</w:t>
            </w:r>
            <w:r w:rsidR="005C6813">
              <w:rPr>
                <w:b/>
                <w:spacing w:val="-2"/>
                <w:sz w:val="20"/>
              </w:rPr>
              <w:t>2</w:t>
            </w:r>
            <w:r>
              <w:rPr>
                <w:b/>
                <w:spacing w:val="-2"/>
                <w:sz w:val="20"/>
              </w:rPr>
              <w:t>)</w:t>
            </w:r>
          </w:p>
        </w:tc>
        <w:tc>
          <w:tcPr>
            <w:tcW w:w="1706" w:type="dxa"/>
            <w:tcBorders>
              <w:top w:val="nil"/>
              <w:left w:val="nil"/>
              <w:right w:val="nil"/>
            </w:tcBorders>
            <w:shd w:val="clear" w:color="000000" w:fill="FFFFFF"/>
            <w:vAlign w:val="bottom"/>
          </w:tcPr>
          <w:p w14:paraId="16791071" w14:textId="633700A7" w:rsidR="00586E8D" w:rsidRPr="00D56CDC" w:rsidRDefault="001B4228" w:rsidP="00D56CDC">
            <w:pPr>
              <w:tabs>
                <w:tab w:val="decimal" w:pos="1131"/>
              </w:tabs>
              <w:ind w:right="-73" w:hanging="112"/>
              <w:jc w:val="right"/>
              <w:rPr>
                <w:bCs/>
                <w:spacing w:val="-2"/>
                <w:sz w:val="20"/>
              </w:rPr>
            </w:pPr>
            <w:r>
              <w:rPr>
                <w:bCs/>
                <w:spacing w:val="-2"/>
                <w:sz w:val="20"/>
              </w:rPr>
              <w:t>(583,341)</w:t>
            </w:r>
          </w:p>
        </w:tc>
      </w:tr>
      <w:tr w:rsidR="00586E8D" w:rsidRPr="000206BE" w14:paraId="2EE4CAE9" w14:textId="77777777" w:rsidTr="00D56CDC">
        <w:trPr>
          <w:trHeight w:val="288"/>
        </w:trPr>
        <w:tc>
          <w:tcPr>
            <w:tcW w:w="5940" w:type="dxa"/>
            <w:tcBorders>
              <w:top w:val="single" w:sz="4" w:space="0" w:color="auto"/>
              <w:left w:val="nil"/>
              <w:bottom w:val="single" w:sz="4" w:space="0" w:color="auto"/>
            </w:tcBorders>
            <w:shd w:val="clear" w:color="000000" w:fill="FFFFFF"/>
            <w:noWrap/>
            <w:vAlign w:val="bottom"/>
          </w:tcPr>
          <w:p w14:paraId="51BFEBDA" w14:textId="77777777" w:rsidR="00586E8D" w:rsidRPr="000206BE" w:rsidRDefault="00586E8D" w:rsidP="00D56CDC">
            <w:pPr>
              <w:widowControl/>
              <w:ind w:leftChars="-45" w:hangingChars="54" w:hanging="108"/>
              <w:rPr>
                <w:sz w:val="20"/>
                <w:lang w:val="en-CA" w:eastAsia="en-CA"/>
              </w:rPr>
            </w:pPr>
            <w:r w:rsidRPr="000206BE">
              <w:rPr>
                <w:sz w:val="20"/>
                <w:lang w:val="en-CA" w:eastAsia="en-CA"/>
              </w:rPr>
              <w:t>Net cash used in</w:t>
            </w:r>
            <w:r>
              <w:rPr>
                <w:sz w:val="20"/>
                <w:lang w:val="en-CA" w:eastAsia="en-CA"/>
              </w:rPr>
              <w:t xml:space="preserve"> </w:t>
            </w:r>
            <w:r w:rsidRPr="000206BE">
              <w:rPr>
                <w:sz w:val="20"/>
                <w:lang w:val="en-CA" w:eastAsia="en-CA"/>
              </w:rPr>
              <w:t>operating activities</w:t>
            </w:r>
          </w:p>
        </w:tc>
        <w:tc>
          <w:tcPr>
            <w:tcW w:w="1705" w:type="dxa"/>
            <w:tcBorders>
              <w:top w:val="single" w:sz="4" w:space="0" w:color="auto"/>
              <w:left w:val="nil"/>
              <w:bottom w:val="single" w:sz="4" w:space="0" w:color="auto"/>
            </w:tcBorders>
            <w:shd w:val="clear" w:color="000000" w:fill="FFFFFF"/>
            <w:vAlign w:val="bottom"/>
          </w:tcPr>
          <w:p w14:paraId="4AC7E2AF" w14:textId="598BF462" w:rsidR="00586E8D" w:rsidRPr="00D56CDC" w:rsidRDefault="00D514C0" w:rsidP="00D56CDC">
            <w:pPr>
              <w:ind w:hanging="112"/>
              <w:jc w:val="right"/>
              <w:rPr>
                <w:b/>
                <w:spacing w:val="-2"/>
                <w:sz w:val="20"/>
              </w:rPr>
            </w:pPr>
            <w:r>
              <w:rPr>
                <w:b/>
                <w:spacing w:val="-2"/>
                <w:sz w:val="20"/>
              </w:rPr>
              <w:t>(</w:t>
            </w:r>
            <w:r w:rsidR="0010588F">
              <w:rPr>
                <w:b/>
                <w:spacing w:val="-2"/>
                <w:sz w:val="20"/>
              </w:rPr>
              <w:t>233,445</w:t>
            </w:r>
            <w:r>
              <w:rPr>
                <w:b/>
                <w:spacing w:val="-2"/>
                <w:sz w:val="20"/>
              </w:rPr>
              <w:t>)</w:t>
            </w:r>
          </w:p>
        </w:tc>
        <w:tc>
          <w:tcPr>
            <w:tcW w:w="1706" w:type="dxa"/>
            <w:tcBorders>
              <w:top w:val="single" w:sz="4" w:space="0" w:color="auto"/>
              <w:left w:val="nil"/>
              <w:bottom w:val="single" w:sz="4" w:space="0" w:color="auto"/>
              <w:right w:val="nil"/>
            </w:tcBorders>
            <w:shd w:val="clear" w:color="000000" w:fill="FFFFFF"/>
            <w:vAlign w:val="bottom"/>
          </w:tcPr>
          <w:p w14:paraId="71504144" w14:textId="69B0E67A" w:rsidR="00586E8D" w:rsidRPr="00D56CDC" w:rsidRDefault="001B4228" w:rsidP="00D56CDC">
            <w:pPr>
              <w:tabs>
                <w:tab w:val="decimal" w:pos="1131"/>
              </w:tabs>
              <w:ind w:right="-73" w:hanging="112"/>
              <w:jc w:val="right"/>
              <w:rPr>
                <w:bCs/>
                <w:spacing w:val="-2"/>
                <w:sz w:val="20"/>
              </w:rPr>
            </w:pPr>
            <w:r>
              <w:rPr>
                <w:bCs/>
                <w:spacing w:val="-2"/>
                <w:sz w:val="20"/>
              </w:rPr>
              <w:t>(694,794)</w:t>
            </w:r>
          </w:p>
        </w:tc>
      </w:tr>
      <w:tr w:rsidR="00D514C0" w:rsidRPr="000206BE" w14:paraId="159C21FB" w14:textId="77777777" w:rsidTr="00D514C0">
        <w:trPr>
          <w:trHeight w:val="288"/>
        </w:trPr>
        <w:tc>
          <w:tcPr>
            <w:tcW w:w="5940" w:type="dxa"/>
            <w:tcBorders>
              <w:top w:val="single" w:sz="4" w:space="0" w:color="auto"/>
              <w:left w:val="nil"/>
            </w:tcBorders>
            <w:shd w:val="clear" w:color="000000" w:fill="FFFFFF"/>
            <w:noWrap/>
            <w:vAlign w:val="bottom"/>
          </w:tcPr>
          <w:p w14:paraId="66199A5A" w14:textId="77777777" w:rsidR="00D514C0" w:rsidRPr="000206BE" w:rsidRDefault="00D514C0" w:rsidP="00D56CDC">
            <w:pPr>
              <w:widowControl/>
              <w:ind w:leftChars="-45" w:hangingChars="54" w:hanging="108"/>
              <w:rPr>
                <w:sz w:val="20"/>
                <w:lang w:val="en-CA" w:eastAsia="en-CA"/>
              </w:rPr>
            </w:pPr>
          </w:p>
        </w:tc>
        <w:tc>
          <w:tcPr>
            <w:tcW w:w="1705" w:type="dxa"/>
            <w:tcBorders>
              <w:top w:val="single" w:sz="4" w:space="0" w:color="auto"/>
              <w:left w:val="nil"/>
            </w:tcBorders>
            <w:shd w:val="clear" w:color="000000" w:fill="FFFFFF"/>
            <w:vAlign w:val="bottom"/>
          </w:tcPr>
          <w:p w14:paraId="7F43574B" w14:textId="77777777" w:rsidR="00D514C0" w:rsidRDefault="00D514C0" w:rsidP="00D56CDC">
            <w:pPr>
              <w:ind w:hanging="112"/>
              <w:jc w:val="right"/>
              <w:rPr>
                <w:b/>
                <w:spacing w:val="-2"/>
                <w:sz w:val="20"/>
              </w:rPr>
            </w:pPr>
          </w:p>
        </w:tc>
        <w:tc>
          <w:tcPr>
            <w:tcW w:w="1706" w:type="dxa"/>
            <w:tcBorders>
              <w:top w:val="single" w:sz="4" w:space="0" w:color="auto"/>
              <w:left w:val="nil"/>
              <w:right w:val="nil"/>
            </w:tcBorders>
            <w:shd w:val="clear" w:color="000000" w:fill="FFFFFF"/>
            <w:vAlign w:val="bottom"/>
          </w:tcPr>
          <w:p w14:paraId="5578C7F7" w14:textId="77777777" w:rsidR="00D514C0" w:rsidRDefault="00D514C0" w:rsidP="00D56CDC">
            <w:pPr>
              <w:tabs>
                <w:tab w:val="decimal" w:pos="1131"/>
              </w:tabs>
              <w:ind w:right="-73" w:hanging="112"/>
              <w:jc w:val="right"/>
              <w:rPr>
                <w:bCs/>
                <w:spacing w:val="-2"/>
                <w:sz w:val="20"/>
              </w:rPr>
            </w:pPr>
          </w:p>
        </w:tc>
      </w:tr>
      <w:tr w:rsidR="00D1270F" w:rsidRPr="000206BE" w14:paraId="63236A8C" w14:textId="77777777" w:rsidTr="00D514C0">
        <w:trPr>
          <w:trHeight w:val="288"/>
        </w:trPr>
        <w:tc>
          <w:tcPr>
            <w:tcW w:w="5940" w:type="dxa"/>
            <w:tcBorders>
              <w:left w:val="nil"/>
            </w:tcBorders>
            <w:shd w:val="clear" w:color="000000" w:fill="FFFFFF"/>
            <w:noWrap/>
            <w:vAlign w:val="bottom"/>
          </w:tcPr>
          <w:p w14:paraId="1A491434" w14:textId="77777777" w:rsidR="00D1270F" w:rsidRPr="000206BE" w:rsidRDefault="00D1270F" w:rsidP="00D56CDC">
            <w:pPr>
              <w:widowControl/>
              <w:ind w:hanging="112"/>
              <w:rPr>
                <w:sz w:val="20"/>
                <w:lang w:val="en-CA" w:eastAsia="en-CA"/>
              </w:rPr>
            </w:pPr>
            <w:r w:rsidRPr="000206BE">
              <w:rPr>
                <w:b/>
                <w:bCs/>
                <w:sz w:val="20"/>
              </w:rPr>
              <w:t>Investing activities</w:t>
            </w:r>
          </w:p>
        </w:tc>
        <w:tc>
          <w:tcPr>
            <w:tcW w:w="1705" w:type="dxa"/>
            <w:tcBorders>
              <w:left w:val="nil"/>
            </w:tcBorders>
            <w:shd w:val="clear" w:color="000000" w:fill="FFFFFF"/>
            <w:vAlign w:val="bottom"/>
          </w:tcPr>
          <w:p w14:paraId="0098D447" w14:textId="77777777" w:rsidR="00D1270F" w:rsidRPr="00D56CDC" w:rsidRDefault="00D1270F" w:rsidP="00D56CDC">
            <w:pPr>
              <w:ind w:hanging="112"/>
              <w:jc w:val="right"/>
              <w:rPr>
                <w:b/>
                <w:spacing w:val="-2"/>
                <w:sz w:val="20"/>
              </w:rPr>
            </w:pPr>
          </w:p>
        </w:tc>
        <w:tc>
          <w:tcPr>
            <w:tcW w:w="1706" w:type="dxa"/>
            <w:tcBorders>
              <w:left w:val="nil"/>
              <w:right w:val="nil"/>
            </w:tcBorders>
            <w:shd w:val="clear" w:color="000000" w:fill="FFFFFF"/>
            <w:vAlign w:val="bottom"/>
          </w:tcPr>
          <w:p w14:paraId="021462EA" w14:textId="77777777" w:rsidR="00D1270F" w:rsidRPr="00D56CDC" w:rsidRDefault="00D1270F" w:rsidP="00D56CDC">
            <w:pPr>
              <w:tabs>
                <w:tab w:val="decimal" w:pos="1131"/>
              </w:tabs>
              <w:ind w:right="-73" w:hanging="112"/>
              <w:jc w:val="right"/>
              <w:rPr>
                <w:bCs/>
                <w:spacing w:val="-2"/>
                <w:sz w:val="20"/>
              </w:rPr>
            </w:pPr>
          </w:p>
        </w:tc>
      </w:tr>
      <w:tr w:rsidR="00586E8D" w:rsidRPr="000206BE" w14:paraId="56D417FA" w14:textId="77777777" w:rsidTr="00D56CDC">
        <w:trPr>
          <w:trHeight w:val="288"/>
        </w:trPr>
        <w:tc>
          <w:tcPr>
            <w:tcW w:w="5940" w:type="dxa"/>
            <w:tcBorders>
              <w:left w:val="nil"/>
            </w:tcBorders>
            <w:shd w:val="clear" w:color="000000" w:fill="FFFFFF"/>
            <w:noWrap/>
            <w:vAlign w:val="bottom"/>
          </w:tcPr>
          <w:p w14:paraId="60BB6365" w14:textId="77777777" w:rsidR="00586E8D" w:rsidRPr="000206BE" w:rsidRDefault="00586E8D" w:rsidP="00D56CDC">
            <w:pPr>
              <w:widowControl/>
              <w:ind w:left="432" w:firstLine="11"/>
              <w:rPr>
                <w:sz w:val="20"/>
                <w:lang w:val="en-CA" w:eastAsia="en-CA"/>
              </w:rPr>
            </w:pPr>
            <w:r>
              <w:rPr>
                <w:sz w:val="20"/>
                <w:lang w:val="en-CA" w:eastAsia="en-CA"/>
              </w:rPr>
              <w:t>E</w:t>
            </w:r>
            <w:r w:rsidRPr="000206BE">
              <w:rPr>
                <w:sz w:val="20"/>
                <w:lang w:val="en-CA" w:eastAsia="en-CA"/>
              </w:rPr>
              <w:t>xploration and evaluation assets</w:t>
            </w:r>
          </w:p>
        </w:tc>
        <w:tc>
          <w:tcPr>
            <w:tcW w:w="1705" w:type="dxa"/>
            <w:tcBorders>
              <w:left w:val="nil"/>
            </w:tcBorders>
            <w:shd w:val="clear" w:color="000000" w:fill="FFFFFF"/>
            <w:vAlign w:val="bottom"/>
          </w:tcPr>
          <w:p w14:paraId="0FE105D1" w14:textId="655D8BD3" w:rsidR="00586E8D" w:rsidRPr="00D56CDC" w:rsidRDefault="00D514C0" w:rsidP="00D56CDC">
            <w:pPr>
              <w:ind w:hanging="112"/>
              <w:jc w:val="right"/>
              <w:rPr>
                <w:b/>
                <w:spacing w:val="-2"/>
                <w:sz w:val="20"/>
              </w:rPr>
            </w:pPr>
            <w:r>
              <w:rPr>
                <w:b/>
                <w:spacing w:val="-2"/>
                <w:sz w:val="20"/>
              </w:rPr>
              <w:t>(10,106)</w:t>
            </w:r>
          </w:p>
        </w:tc>
        <w:tc>
          <w:tcPr>
            <w:tcW w:w="1706" w:type="dxa"/>
            <w:tcBorders>
              <w:left w:val="nil"/>
              <w:right w:val="nil"/>
            </w:tcBorders>
            <w:shd w:val="clear" w:color="000000" w:fill="FFFFFF"/>
            <w:vAlign w:val="bottom"/>
          </w:tcPr>
          <w:p w14:paraId="46A8DA86" w14:textId="6DD9DC92" w:rsidR="00586E8D" w:rsidRPr="00D56CDC" w:rsidRDefault="001B4228" w:rsidP="00D56CDC">
            <w:pPr>
              <w:tabs>
                <w:tab w:val="decimal" w:pos="1131"/>
              </w:tabs>
              <w:ind w:right="-73" w:hanging="112"/>
              <w:jc w:val="right"/>
              <w:rPr>
                <w:bCs/>
                <w:spacing w:val="-2"/>
                <w:sz w:val="20"/>
              </w:rPr>
            </w:pPr>
            <w:r>
              <w:rPr>
                <w:bCs/>
                <w:spacing w:val="-2"/>
                <w:sz w:val="20"/>
              </w:rPr>
              <w:t>(317,268)</w:t>
            </w:r>
          </w:p>
        </w:tc>
      </w:tr>
      <w:tr w:rsidR="00345BB8" w:rsidRPr="000206BE" w14:paraId="4DA2C9D7" w14:textId="77777777" w:rsidTr="00D56CDC">
        <w:trPr>
          <w:trHeight w:val="288"/>
        </w:trPr>
        <w:tc>
          <w:tcPr>
            <w:tcW w:w="5940" w:type="dxa"/>
            <w:tcBorders>
              <w:left w:val="nil"/>
            </w:tcBorders>
            <w:shd w:val="clear" w:color="000000" w:fill="FFFFFF"/>
            <w:noWrap/>
            <w:vAlign w:val="bottom"/>
          </w:tcPr>
          <w:p w14:paraId="20E5C2CF" w14:textId="3972C493" w:rsidR="00345BB8" w:rsidRDefault="00345BB8" w:rsidP="00D56CDC">
            <w:pPr>
              <w:widowControl/>
              <w:ind w:left="432" w:firstLine="11"/>
              <w:rPr>
                <w:sz w:val="20"/>
                <w:lang w:val="en-CA" w:eastAsia="en-CA"/>
              </w:rPr>
            </w:pPr>
            <w:r>
              <w:rPr>
                <w:sz w:val="20"/>
                <w:lang w:val="en-CA" w:eastAsia="en-CA"/>
              </w:rPr>
              <w:t>Proceeds from disposition of investment</w:t>
            </w:r>
          </w:p>
        </w:tc>
        <w:tc>
          <w:tcPr>
            <w:tcW w:w="1705" w:type="dxa"/>
            <w:tcBorders>
              <w:left w:val="nil"/>
            </w:tcBorders>
            <w:shd w:val="clear" w:color="000000" w:fill="FFFFFF"/>
            <w:vAlign w:val="bottom"/>
          </w:tcPr>
          <w:p w14:paraId="296F41AA" w14:textId="1AB08778" w:rsidR="00345BB8" w:rsidRDefault="00345BB8" w:rsidP="00D56CDC">
            <w:pPr>
              <w:ind w:hanging="112"/>
              <w:jc w:val="right"/>
              <w:rPr>
                <w:b/>
                <w:spacing w:val="-2"/>
                <w:sz w:val="20"/>
              </w:rPr>
            </w:pPr>
            <w:r>
              <w:rPr>
                <w:b/>
                <w:spacing w:val="-2"/>
                <w:sz w:val="20"/>
              </w:rPr>
              <w:t>192,443</w:t>
            </w:r>
          </w:p>
        </w:tc>
        <w:tc>
          <w:tcPr>
            <w:tcW w:w="1706" w:type="dxa"/>
            <w:tcBorders>
              <w:left w:val="nil"/>
              <w:right w:val="nil"/>
            </w:tcBorders>
            <w:shd w:val="clear" w:color="000000" w:fill="FFFFFF"/>
            <w:vAlign w:val="bottom"/>
          </w:tcPr>
          <w:p w14:paraId="2C36CEA8" w14:textId="71708B5F" w:rsidR="00345BB8" w:rsidRDefault="000E51BD" w:rsidP="00D56CDC">
            <w:pPr>
              <w:tabs>
                <w:tab w:val="decimal" w:pos="1131"/>
              </w:tabs>
              <w:ind w:right="-73" w:hanging="112"/>
              <w:jc w:val="right"/>
              <w:rPr>
                <w:bCs/>
                <w:spacing w:val="-2"/>
                <w:sz w:val="20"/>
              </w:rPr>
            </w:pPr>
            <w:r>
              <w:rPr>
                <w:bCs/>
                <w:spacing w:val="-2"/>
                <w:sz w:val="20"/>
              </w:rPr>
              <w:t>-</w:t>
            </w:r>
          </w:p>
        </w:tc>
      </w:tr>
      <w:tr w:rsidR="00586E8D" w:rsidRPr="000206BE" w14:paraId="14C21B1F" w14:textId="77777777" w:rsidTr="00D56CDC">
        <w:trPr>
          <w:trHeight w:val="288"/>
        </w:trPr>
        <w:tc>
          <w:tcPr>
            <w:tcW w:w="5940" w:type="dxa"/>
            <w:tcBorders>
              <w:top w:val="single" w:sz="4" w:space="0" w:color="auto"/>
              <w:left w:val="nil"/>
              <w:bottom w:val="single" w:sz="4" w:space="0" w:color="auto"/>
            </w:tcBorders>
            <w:shd w:val="clear" w:color="000000" w:fill="FFFFFF"/>
            <w:noWrap/>
            <w:vAlign w:val="bottom"/>
          </w:tcPr>
          <w:p w14:paraId="297BF0CD" w14:textId="77777777" w:rsidR="00586E8D" w:rsidRPr="000206BE" w:rsidRDefault="00586E8D" w:rsidP="00D56CDC">
            <w:pPr>
              <w:widowControl/>
              <w:ind w:hanging="112"/>
              <w:rPr>
                <w:sz w:val="20"/>
                <w:lang w:val="en-CA" w:eastAsia="en-CA"/>
              </w:rPr>
            </w:pPr>
            <w:r w:rsidRPr="000206BE">
              <w:rPr>
                <w:sz w:val="20"/>
                <w:lang w:val="en-CA" w:eastAsia="en-CA"/>
              </w:rPr>
              <w:t>Net cash used in investing activities</w:t>
            </w:r>
          </w:p>
        </w:tc>
        <w:tc>
          <w:tcPr>
            <w:tcW w:w="1705" w:type="dxa"/>
            <w:tcBorders>
              <w:top w:val="single" w:sz="4" w:space="0" w:color="auto"/>
              <w:left w:val="nil"/>
              <w:bottom w:val="single" w:sz="4" w:space="0" w:color="auto"/>
            </w:tcBorders>
            <w:shd w:val="clear" w:color="000000" w:fill="FFFFFF"/>
            <w:vAlign w:val="bottom"/>
          </w:tcPr>
          <w:p w14:paraId="12D1B3A1" w14:textId="3A13475C" w:rsidR="00586E8D" w:rsidRPr="00D56CDC" w:rsidRDefault="00D514C0" w:rsidP="00D56CDC">
            <w:pPr>
              <w:ind w:hanging="112"/>
              <w:jc w:val="right"/>
              <w:rPr>
                <w:b/>
                <w:spacing w:val="-2"/>
                <w:sz w:val="20"/>
              </w:rPr>
            </w:pPr>
            <w:r>
              <w:rPr>
                <w:b/>
                <w:spacing w:val="-2"/>
                <w:sz w:val="20"/>
              </w:rPr>
              <w:t>(</w:t>
            </w:r>
            <w:r w:rsidR="00345BB8">
              <w:rPr>
                <w:b/>
                <w:spacing w:val="-2"/>
                <w:sz w:val="20"/>
              </w:rPr>
              <w:t>182,337</w:t>
            </w:r>
            <w:r w:rsidR="000304E1">
              <w:rPr>
                <w:b/>
                <w:spacing w:val="-2"/>
                <w:sz w:val="20"/>
              </w:rPr>
              <w:t>)</w:t>
            </w:r>
          </w:p>
        </w:tc>
        <w:tc>
          <w:tcPr>
            <w:tcW w:w="1706" w:type="dxa"/>
            <w:tcBorders>
              <w:top w:val="single" w:sz="4" w:space="0" w:color="auto"/>
              <w:left w:val="nil"/>
              <w:bottom w:val="single" w:sz="4" w:space="0" w:color="auto"/>
              <w:right w:val="nil"/>
            </w:tcBorders>
            <w:shd w:val="clear" w:color="000000" w:fill="FFFFFF"/>
            <w:vAlign w:val="bottom"/>
          </w:tcPr>
          <w:p w14:paraId="11E4E216" w14:textId="3FA518C7" w:rsidR="00586E8D" w:rsidRPr="00D56CDC" w:rsidRDefault="001B4228" w:rsidP="00D56CDC">
            <w:pPr>
              <w:tabs>
                <w:tab w:val="decimal" w:pos="1131"/>
              </w:tabs>
              <w:ind w:right="-73" w:hanging="112"/>
              <w:jc w:val="right"/>
              <w:rPr>
                <w:bCs/>
                <w:spacing w:val="-2"/>
                <w:sz w:val="20"/>
              </w:rPr>
            </w:pPr>
            <w:r>
              <w:rPr>
                <w:bCs/>
                <w:spacing w:val="-2"/>
                <w:sz w:val="20"/>
              </w:rPr>
              <w:t>(317,268)</w:t>
            </w:r>
          </w:p>
        </w:tc>
      </w:tr>
      <w:tr w:rsidR="00D514C0" w:rsidRPr="000206BE" w14:paraId="2DE11E27" w14:textId="77777777" w:rsidTr="00D514C0">
        <w:trPr>
          <w:trHeight w:val="288"/>
        </w:trPr>
        <w:tc>
          <w:tcPr>
            <w:tcW w:w="5940" w:type="dxa"/>
            <w:tcBorders>
              <w:top w:val="single" w:sz="4" w:space="0" w:color="auto"/>
              <w:left w:val="nil"/>
            </w:tcBorders>
            <w:shd w:val="clear" w:color="000000" w:fill="FFFFFF"/>
            <w:noWrap/>
            <w:vAlign w:val="bottom"/>
          </w:tcPr>
          <w:p w14:paraId="5D1A236C" w14:textId="77777777" w:rsidR="00D514C0" w:rsidRPr="000206BE" w:rsidRDefault="00D514C0" w:rsidP="00D56CDC">
            <w:pPr>
              <w:widowControl/>
              <w:ind w:hanging="112"/>
              <w:rPr>
                <w:sz w:val="20"/>
                <w:lang w:val="en-CA" w:eastAsia="en-CA"/>
              </w:rPr>
            </w:pPr>
          </w:p>
        </w:tc>
        <w:tc>
          <w:tcPr>
            <w:tcW w:w="1705" w:type="dxa"/>
            <w:tcBorders>
              <w:top w:val="single" w:sz="4" w:space="0" w:color="auto"/>
              <w:left w:val="nil"/>
            </w:tcBorders>
            <w:shd w:val="clear" w:color="000000" w:fill="FFFFFF"/>
            <w:vAlign w:val="bottom"/>
          </w:tcPr>
          <w:p w14:paraId="4ECDBC67" w14:textId="77777777" w:rsidR="00D514C0" w:rsidRDefault="00D514C0" w:rsidP="00D56CDC">
            <w:pPr>
              <w:ind w:hanging="112"/>
              <w:jc w:val="right"/>
              <w:rPr>
                <w:b/>
                <w:spacing w:val="-2"/>
                <w:sz w:val="20"/>
              </w:rPr>
            </w:pPr>
          </w:p>
        </w:tc>
        <w:tc>
          <w:tcPr>
            <w:tcW w:w="1706" w:type="dxa"/>
            <w:tcBorders>
              <w:top w:val="single" w:sz="4" w:space="0" w:color="auto"/>
              <w:left w:val="nil"/>
              <w:right w:val="nil"/>
            </w:tcBorders>
            <w:shd w:val="clear" w:color="000000" w:fill="FFFFFF"/>
            <w:vAlign w:val="bottom"/>
          </w:tcPr>
          <w:p w14:paraId="45C190E9" w14:textId="77777777" w:rsidR="00D514C0" w:rsidRDefault="00D514C0" w:rsidP="00D56CDC">
            <w:pPr>
              <w:tabs>
                <w:tab w:val="decimal" w:pos="1131"/>
              </w:tabs>
              <w:ind w:right="-73" w:hanging="112"/>
              <w:jc w:val="right"/>
              <w:rPr>
                <w:bCs/>
                <w:spacing w:val="-2"/>
                <w:sz w:val="20"/>
              </w:rPr>
            </w:pPr>
          </w:p>
        </w:tc>
      </w:tr>
      <w:tr w:rsidR="00D56CDC" w:rsidRPr="000206BE" w14:paraId="0E61D2EF" w14:textId="77777777" w:rsidTr="00D514C0">
        <w:trPr>
          <w:trHeight w:val="288"/>
        </w:trPr>
        <w:tc>
          <w:tcPr>
            <w:tcW w:w="5940" w:type="dxa"/>
            <w:tcBorders>
              <w:left w:val="nil"/>
            </w:tcBorders>
            <w:shd w:val="clear" w:color="000000" w:fill="FFFFFF"/>
            <w:noWrap/>
            <w:vAlign w:val="bottom"/>
          </w:tcPr>
          <w:p w14:paraId="75971F6B" w14:textId="77777777" w:rsidR="00D56CDC" w:rsidRPr="000206BE" w:rsidRDefault="00D56CDC" w:rsidP="00D56CDC">
            <w:pPr>
              <w:widowControl/>
              <w:ind w:hanging="112"/>
              <w:rPr>
                <w:sz w:val="20"/>
                <w:lang w:val="en-CA" w:eastAsia="en-CA"/>
              </w:rPr>
            </w:pPr>
            <w:r w:rsidRPr="000206BE">
              <w:rPr>
                <w:b/>
                <w:bCs/>
                <w:sz w:val="20"/>
              </w:rPr>
              <w:t>Financing activities</w:t>
            </w:r>
          </w:p>
        </w:tc>
        <w:tc>
          <w:tcPr>
            <w:tcW w:w="1705" w:type="dxa"/>
            <w:tcBorders>
              <w:left w:val="nil"/>
              <w:right w:val="nil"/>
            </w:tcBorders>
            <w:shd w:val="clear" w:color="000000" w:fill="FFFFFF"/>
            <w:noWrap/>
            <w:vAlign w:val="bottom"/>
          </w:tcPr>
          <w:p w14:paraId="419D3DB0" w14:textId="77777777" w:rsidR="00D56CDC" w:rsidRPr="00D56CDC" w:rsidRDefault="00D56CDC" w:rsidP="00D56CDC">
            <w:pPr>
              <w:ind w:hanging="112"/>
              <w:jc w:val="right"/>
              <w:rPr>
                <w:b/>
                <w:spacing w:val="-2"/>
                <w:sz w:val="20"/>
              </w:rPr>
            </w:pPr>
          </w:p>
        </w:tc>
        <w:tc>
          <w:tcPr>
            <w:tcW w:w="1706" w:type="dxa"/>
            <w:tcBorders>
              <w:left w:val="nil"/>
              <w:right w:val="nil"/>
            </w:tcBorders>
            <w:shd w:val="clear" w:color="000000" w:fill="FFFFFF"/>
            <w:vAlign w:val="bottom"/>
          </w:tcPr>
          <w:p w14:paraId="67DFC3A7" w14:textId="77777777" w:rsidR="00D56CDC" w:rsidRPr="00D56CDC" w:rsidRDefault="00D56CDC" w:rsidP="00D56CDC">
            <w:pPr>
              <w:tabs>
                <w:tab w:val="decimal" w:pos="1131"/>
              </w:tabs>
              <w:ind w:right="-73" w:hanging="112"/>
              <w:jc w:val="right"/>
              <w:rPr>
                <w:bCs/>
                <w:spacing w:val="-2"/>
                <w:sz w:val="20"/>
              </w:rPr>
            </w:pPr>
          </w:p>
        </w:tc>
      </w:tr>
      <w:tr w:rsidR="00D56CDC" w:rsidRPr="000206BE" w14:paraId="2F25F81D" w14:textId="77777777" w:rsidTr="00D56CDC">
        <w:trPr>
          <w:trHeight w:val="288"/>
        </w:trPr>
        <w:tc>
          <w:tcPr>
            <w:tcW w:w="5940" w:type="dxa"/>
            <w:tcBorders>
              <w:left w:val="nil"/>
            </w:tcBorders>
            <w:shd w:val="clear" w:color="000000" w:fill="FFFFFF"/>
            <w:noWrap/>
            <w:vAlign w:val="bottom"/>
          </w:tcPr>
          <w:p w14:paraId="59E5D890" w14:textId="36B4672B" w:rsidR="00D56CDC" w:rsidRPr="000206BE" w:rsidRDefault="00D56CDC" w:rsidP="00D56CDC">
            <w:pPr>
              <w:widowControl/>
              <w:ind w:left="630" w:hanging="187"/>
              <w:rPr>
                <w:sz w:val="20"/>
                <w:lang w:val="en-CA" w:eastAsia="en-CA"/>
              </w:rPr>
            </w:pPr>
            <w:r w:rsidRPr="000206BE">
              <w:rPr>
                <w:sz w:val="20"/>
                <w:lang w:val="en-CA" w:eastAsia="en-CA"/>
              </w:rPr>
              <w:t xml:space="preserve">Proceeds from </w:t>
            </w:r>
            <w:r w:rsidR="00B0745F">
              <w:rPr>
                <w:sz w:val="20"/>
                <w:lang w:val="en-CA" w:eastAsia="en-CA"/>
              </w:rPr>
              <w:t>options exercised</w:t>
            </w:r>
          </w:p>
        </w:tc>
        <w:tc>
          <w:tcPr>
            <w:tcW w:w="1705" w:type="dxa"/>
            <w:tcBorders>
              <w:left w:val="nil"/>
              <w:right w:val="nil"/>
            </w:tcBorders>
            <w:shd w:val="clear" w:color="000000" w:fill="FFFFFF"/>
            <w:noWrap/>
            <w:vAlign w:val="bottom"/>
          </w:tcPr>
          <w:p w14:paraId="61B1FFED" w14:textId="44A49E96" w:rsidR="00D56CDC" w:rsidRPr="00D56CDC" w:rsidRDefault="00B0745F" w:rsidP="00D56CDC">
            <w:pPr>
              <w:ind w:hanging="112"/>
              <w:jc w:val="right"/>
              <w:rPr>
                <w:b/>
                <w:spacing w:val="-2"/>
                <w:sz w:val="20"/>
              </w:rPr>
            </w:pPr>
            <w:r>
              <w:rPr>
                <w:b/>
                <w:spacing w:val="-2"/>
                <w:sz w:val="20"/>
              </w:rPr>
              <w:t>24,950</w:t>
            </w:r>
          </w:p>
        </w:tc>
        <w:tc>
          <w:tcPr>
            <w:tcW w:w="1706" w:type="dxa"/>
            <w:tcBorders>
              <w:left w:val="nil"/>
              <w:right w:val="nil"/>
            </w:tcBorders>
            <w:shd w:val="clear" w:color="000000" w:fill="FFFFFF"/>
            <w:vAlign w:val="bottom"/>
          </w:tcPr>
          <w:p w14:paraId="0A2456E3" w14:textId="130A972C" w:rsidR="00D56CDC" w:rsidRPr="00D56CDC" w:rsidRDefault="001B4228" w:rsidP="00D56CDC">
            <w:pPr>
              <w:tabs>
                <w:tab w:val="decimal" w:pos="1131"/>
              </w:tabs>
              <w:ind w:right="-73" w:hanging="112"/>
              <w:jc w:val="right"/>
              <w:rPr>
                <w:bCs/>
                <w:spacing w:val="-2"/>
                <w:sz w:val="20"/>
              </w:rPr>
            </w:pPr>
            <w:r>
              <w:rPr>
                <w:bCs/>
                <w:spacing w:val="-2"/>
                <w:sz w:val="20"/>
              </w:rPr>
              <w:t>-</w:t>
            </w:r>
          </w:p>
        </w:tc>
      </w:tr>
      <w:tr w:rsidR="00D56CDC" w:rsidRPr="000206BE" w14:paraId="72813567" w14:textId="77777777" w:rsidTr="00D56CDC">
        <w:trPr>
          <w:trHeight w:val="288"/>
        </w:trPr>
        <w:tc>
          <w:tcPr>
            <w:tcW w:w="5940" w:type="dxa"/>
            <w:tcBorders>
              <w:left w:val="nil"/>
            </w:tcBorders>
            <w:shd w:val="clear" w:color="000000" w:fill="FFFFFF"/>
            <w:noWrap/>
            <w:vAlign w:val="bottom"/>
          </w:tcPr>
          <w:p w14:paraId="5EAC4C78" w14:textId="3BEA918C" w:rsidR="00D56CDC" w:rsidRPr="000206BE" w:rsidRDefault="00B0745F" w:rsidP="00D56CDC">
            <w:pPr>
              <w:widowControl/>
              <w:ind w:left="630" w:hanging="187"/>
              <w:rPr>
                <w:sz w:val="20"/>
                <w:lang w:val="en-CA" w:eastAsia="en-CA"/>
              </w:rPr>
            </w:pPr>
            <w:r>
              <w:rPr>
                <w:sz w:val="20"/>
                <w:lang w:val="en-CA" w:eastAsia="en-CA"/>
              </w:rPr>
              <w:t xml:space="preserve">Promissory note </w:t>
            </w:r>
          </w:p>
        </w:tc>
        <w:tc>
          <w:tcPr>
            <w:tcW w:w="1705" w:type="dxa"/>
            <w:tcBorders>
              <w:left w:val="nil"/>
              <w:right w:val="nil"/>
            </w:tcBorders>
            <w:shd w:val="clear" w:color="000000" w:fill="FFFFFF"/>
            <w:noWrap/>
            <w:vAlign w:val="bottom"/>
          </w:tcPr>
          <w:p w14:paraId="12FE92EE" w14:textId="1D0148EF" w:rsidR="00D56CDC" w:rsidRPr="00D56CDC" w:rsidRDefault="00B0745F" w:rsidP="00D56CDC">
            <w:pPr>
              <w:ind w:hanging="112"/>
              <w:jc w:val="right"/>
              <w:rPr>
                <w:b/>
                <w:spacing w:val="-2"/>
                <w:sz w:val="20"/>
              </w:rPr>
            </w:pPr>
            <w:r>
              <w:rPr>
                <w:b/>
                <w:spacing w:val="-2"/>
                <w:sz w:val="20"/>
              </w:rPr>
              <w:t>(75,000)</w:t>
            </w:r>
          </w:p>
        </w:tc>
        <w:tc>
          <w:tcPr>
            <w:tcW w:w="1706" w:type="dxa"/>
            <w:tcBorders>
              <w:left w:val="nil"/>
              <w:right w:val="nil"/>
            </w:tcBorders>
            <w:shd w:val="clear" w:color="000000" w:fill="FFFFFF"/>
            <w:vAlign w:val="bottom"/>
          </w:tcPr>
          <w:p w14:paraId="731E7526" w14:textId="10DF4C3B" w:rsidR="00D56CDC" w:rsidRPr="00D56CDC" w:rsidRDefault="00D56CDC" w:rsidP="00D56CDC">
            <w:pPr>
              <w:tabs>
                <w:tab w:val="decimal" w:pos="1131"/>
              </w:tabs>
              <w:ind w:right="-73" w:hanging="112"/>
              <w:jc w:val="right"/>
              <w:rPr>
                <w:bCs/>
                <w:spacing w:val="-2"/>
                <w:sz w:val="20"/>
              </w:rPr>
            </w:pPr>
            <w:r w:rsidRPr="00D56CDC">
              <w:rPr>
                <w:bCs/>
                <w:spacing w:val="-2"/>
                <w:sz w:val="20"/>
              </w:rPr>
              <w:t>-</w:t>
            </w:r>
          </w:p>
        </w:tc>
      </w:tr>
      <w:tr w:rsidR="00D56CDC" w:rsidRPr="000206BE" w14:paraId="2D6B48FF" w14:textId="77777777" w:rsidTr="00D56CDC">
        <w:trPr>
          <w:trHeight w:val="288"/>
        </w:trPr>
        <w:tc>
          <w:tcPr>
            <w:tcW w:w="5940" w:type="dxa"/>
            <w:tcBorders>
              <w:top w:val="single" w:sz="4" w:space="0" w:color="auto"/>
              <w:left w:val="nil"/>
            </w:tcBorders>
            <w:shd w:val="clear" w:color="000000" w:fill="FFFFFF"/>
            <w:noWrap/>
            <w:vAlign w:val="bottom"/>
          </w:tcPr>
          <w:p w14:paraId="1F494EB1" w14:textId="77777777" w:rsidR="00D56CDC" w:rsidRPr="000206BE" w:rsidRDefault="00D56CDC" w:rsidP="00D56CDC">
            <w:pPr>
              <w:widowControl/>
              <w:ind w:left="162" w:hanging="270"/>
              <w:rPr>
                <w:sz w:val="20"/>
                <w:lang w:val="en-CA" w:eastAsia="en-CA"/>
              </w:rPr>
            </w:pPr>
            <w:r w:rsidRPr="000206BE">
              <w:rPr>
                <w:sz w:val="20"/>
                <w:lang w:val="en-CA" w:eastAsia="en-CA"/>
              </w:rPr>
              <w:t>Net cash provided by financing activities</w:t>
            </w:r>
          </w:p>
        </w:tc>
        <w:tc>
          <w:tcPr>
            <w:tcW w:w="1705" w:type="dxa"/>
            <w:tcBorders>
              <w:top w:val="single" w:sz="4" w:space="0" w:color="auto"/>
              <w:left w:val="nil"/>
              <w:right w:val="nil"/>
            </w:tcBorders>
            <w:shd w:val="clear" w:color="000000" w:fill="FFFFFF"/>
            <w:noWrap/>
            <w:vAlign w:val="bottom"/>
          </w:tcPr>
          <w:p w14:paraId="5A5C9818" w14:textId="060D2717" w:rsidR="00D56CDC" w:rsidRPr="00D56CDC" w:rsidRDefault="00B0745F" w:rsidP="00D56CDC">
            <w:pPr>
              <w:ind w:hanging="112"/>
              <w:jc w:val="right"/>
              <w:rPr>
                <w:b/>
                <w:spacing w:val="-2"/>
                <w:sz w:val="20"/>
              </w:rPr>
            </w:pPr>
            <w:r>
              <w:rPr>
                <w:b/>
                <w:spacing w:val="-2"/>
                <w:sz w:val="20"/>
              </w:rPr>
              <w:t>(50,050)</w:t>
            </w:r>
          </w:p>
        </w:tc>
        <w:tc>
          <w:tcPr>
            <w:tcW w:w="1706" w:type="dxa"/>
            <w:tcBorders>
              <w:top w:val="single" w:sz="4" w:space="0" w:color="auto"/>
              <w:left w:val="nil"/>
              <w:right w:val="nil"/>
            </w:tcBorders>
            <w:shd w:val="clear" w:color="000000" w:fill="FFFFFF"/>
            <w:vAlign w:val="bottom"/>
          </w:tcPr>
          <w:p w14:paraId="17A844FC" w14:textId="4B2D7A86" w:rsidR="00D56CDC" w:rsidRPr="00D56CDC" w:rsidRDefault="001B4228" w:rsidP="00D56CDC">
            <w:pPr>
              <w:tabs>
                <w:tab w:val="decimal" w:pos="1131"/>
              </w:tabs>
              <w:ind w:right="-73" w:hanging="112"/>
              <w:jc w:val="right"/>
              <w:rPr>
                <w:bCs/>
                <w:spacing w:val="-2"/>
                <w:sz w:val="20"/>
              </w:rPr>
            </w:pPr>
            <w:r>
              <w:rPr>
                <w:bCs/>
                <w:spacing w:val="-2"/>
                <w:sz w:val="20"/>
              </w:rPr>
              <w:t>-</w:t>
            </w:r>
          </w:p>
        </w:tc>
      </w:tr>
      <w:tr w:rsidR="00B0745F" w:rsidRPr="000206BE" w14:paraId="4F8AA55E" w14:textId="77777777" w:rsidTr="00B0745F">
        <w:trPr>
          <w:trHeight w:val="288"/>
        </w:trPr>
        <w:tc>
          <w:tcPr>
            <w:tcW w:w="5940" w:type="dxa"/>
            <w:tcBorders>
              <w:top w:val="single" w:sz="4" w:space="0" w:color="auto"/>
              <w:left w:val="nil"/>
            </w:tcBorders>
            <w:shd w:val="clear" w:color="000000" w:fill="FFFFFF"/>
            <w:noWrap/>
            <w:vAlign w:val="bottom"/>
          </w:tcPr>
          <w:p w14:paraId="01BCEE87" w14:textId="77777777" w:rsidR="00B0745F" w:rsidRPr="000206BE" w:rsidRDefault="00B0745F" w:rsidP="00D56CDC">
            <w:pPr>
              <w:widowControl/>
              <w:ind w:left="162" w:hanging="270"/>
              <w:rPr>
                <w:sz w:val="20"/>
                <w:lang w:val="en-CA" w:eastAsia="en-CA"/>
              </w:rPr>
            </w:pPr>
          </w:p>
        </w:tc>
        <w:tc>
          <w:tcPr>
            <w:tcW w:w="1705" w:type="dxa"/>
            <w:tcBorders>
              <w:top w:val="single" w:sz="4" w:space="0" w:color="auto"/>
              <w:left w:val="nil"/>
              <w:right w:val="nil"/>
            </w:tcBorders>
            <w:shd w:val="clear" w:color="000000" w:fill="FFFFFF"/>
            <w:noWrap/>
            <w:vAlign w:val="bottom"/>
          </w:tcPr>
          <w:p w14:paraId="48176737" w14:textId="77777777" w:rsidR="00B0745F" w:rsidRPr="00D56CDC" w:rsidRDefault="00B0745F" w:rsidP="00D56CDC">
            <w:pPr>
              <w:ind w:hanging="112"/>
              <w:jc w:val="right"/>
              <w:rPr>
                <w:b/>
                <w:spacing w:val="-2"/>
                <w:sz w:val="20"/>
              </w:rPr>
            </w:pPr>
          </w:p>
        </w:tc>
        <w:tc>
          <w:tcPr>
            <w:tcW w:w="1706" w:type="dxa"/>
            <w:tcBorders>
              <w:top w:val="single" w:sz="4" w:space="0" w:color="auto"/>
              <w:left w:val="nil"/>
              <w:right w:val="nil"/>
            </w:tcBorders>
            <w:shd w:val="clear" w:color="000000" w:fill="FFFFFF"/>
            <w:vAlign w:val="bottom"/>
          </w:tcPr>
          <w:p w14:paraId="44DF8F56" w14:textId="77777777" w:rsidR="00B0745F" w:rsidRDefault="00B0745F" w:rsidP="00D56CDC">
            <w:pPr>
              <w:tabs>
                <w:tab w:val="decimal" w:pos="1131"/>
              </w:tabs>
              <w:ind w:right="-73" w:hanging="112"/>
              <w:jc w:val="right"/>
              <w:rPr>
                <w:bCs/>
                <w:spacing w:val="-2"/>
                <w:sz w:val="20"/>
              </w:rPr>
            </w:pPr>
          </w:p>
        </w:tc>
      </w:tr>
      <w:tr w:rsidR="00D56CDC" w:rsidRPr="000206BE" w14:paraId="0107BC24" w14:textId="77777777" w:rsidTr="00B0745F">
        <w:trPr>
          <w:trHeight w:val="288"/>
        </w:trPr>
        <w:tc>
          <w:tcPr>
            <w:tcW w:w="5940" w:type="dxa"/>
            <w:tcBorders>
              <w:left w:val="nil"/>
            </w:tcBorders>
            <w:shd w:val="clear" w:color="000000" w:fill="FFFFFF"/>
            <w:noWrap/>
            <w:vAlign w:val="bottom"/>
          </w:tcPr>
          <w:p w14:paraId="07DC2320" w14:textId="77777777" w:rsidR="00D56CDC" w:rsidRPr="000206BE" w:rsidRDefault="00D56CDC" w:rsidP="00D56CDC">
            <w:pPr>
              <w:widowControl/>
              <w:ind w:hanging="112"/>
              <w:rPr>
                <w:sz w:val="20"/>
                <w:lang w:val="en-CA" w:eastAsia="en-CA"/>
              </w:rPr>
            </w:pPr>
            <w:r w:rsidRPr="000206BE">
              <w:rPr>
                <w:sz w:val="20"/>
                <w:lang w:val="en-CA" w:eastAsia="en-CA"/>
              </w:rPr>
              <w:t>Change in cash</w:t>
            </w:r>
            <w:r>
              <w:rPr>
                <w:sz w:val="20"/>
                <w:lang w:val="en-CA" w:eastAsia="en-CA"/>
              </w:rPr>
              <w:t xml:space="preserve"> and cash equivalents</w:t>
            </w:r>
            <w:r w:rsidRPr="000206BE">
              <w:rPr>
                <w:sz w:val="20"/>
                <w:lang w:val="en-CA" w:eastAsia="en-CA"/>
              </w:rPr>
              <w:t xml:space="preserve"> </w:t>
            </w:r>
          </w:p>
        </w:tc>
        <w:tc>
          <w:tcPr>
            <w:tcW w:w="1705" w:type="dxa"/>
            <w:tcBorders>
              <w:left w:val="nil"/>
              <w:right w:val="nil"/>
            </w:tcBorders>
            <w:shd w:val="clear" w:color="000000" w:fill="FFFFFF"/>
            <w:noWrap/>
            <w:vAlign w:val="bottom"/>
          </w:tcPr>
          <w:p w14:paraId="233C36DA" w14:textId="10A56413" w:rsidR="00D56CDC" w:rsidRPr="000206BE" w:rsidRDefault="00B0745F" w:rsidP="00D56CDC">
            <w:pPr>
              <w:ind w:hanging="112"/>
              <w:jc w:val="right"/>
              <w:rPr>
                <w:b/>
                <w:spacing w:val="-2"/>
                <w:sz w:val="20"/>
              </w:rPr>
            </w:pPr>
            <w:r>
              <w:rPr>
                <w:b/>
                <w:spacing w:val="-2"/>
                <w:sz w:val="20"/>
              </w:rPr>
              <w:t>(</w:t>
            </w:r>
            <w:r w:rsidR="007F42C0">
              <w:rPr>
                <w:b/>
                <w:spacing w:val="-2"/>
                <w:sz w:val="20"/>
              </w:rPr>
              <w:t>103,158</w:t>
            </w:r>
            <w:r>
              <w:rPr>
                <w:b/>
                <w:spacing w:val="-2"/>
                <w:sz w:val="20"/>
              </w:rPr>
              <w:t>)</w:t>
            </w:r>
          </w:p>
        </w:tc>
        <w:tc>
          <w:tcPr>
            <w:tcW w:w="1706" w:type="dxa"/>
            <w:tcBorders>
              <w:left w:val="nil"/>
              <w:right w:val="nil"/>
            </w:tcBorders>
            <w:shd w:val="clear" w:color="000000" w:fill="FFFFFF"/>
            <w:vAlign w:val="bottom"/>
          </w:tcPr>
          <w:p w14:paraId="22325C32" w14:textId="338C8C2E" w:rsidR="00D56CDC" w:rsidRPr="00D56CDC" w:rsidRDefault="001B4228" w:rsidP="00D56CDC">
            <w:pPr>
              <w:tabs>
                <w:tab w:val="decimal" w:pos="1131"/>
              </w:tabs>
              <w:ind w:right="-73" w:hanging="112"/>
              <w:jc w:val="right"/>
              <w:rPr>
                <w:bCs/>
                <w:spacing w:val="-2"/>
                <w:sz w:val="20"/>
              </w:rPr>
            </w:pPr>
            <w:r>
              <w:rPr>
                <w:bCs/>
                <w:spacing w:val="-2"/>
                <w:sz w:val="20"/>
              </w:rPr>
              <w:t>(1,021,062)</w:t>
            </w:r>
          </w:p>
        </w:tc>
      </w:tr>
      <w:tr w:rsidR="00D56CDC" w:rsidRPr="000206BE" w14:paraId="6C73A2E7" w14:textId="77777777" w:rsidTr="00D56CDC">
        <w:trPr>
          <w:trHeight w:val="288"/>
        </w:trPr>
        <w:tc>
          <w:tcPr>
            <w:tcW w:w="5940" w:type="dxa"/>
            <w:tcBorders>
              <w:top w:val="nil"/>
              <w:left w:val="nil"/>
              <w:bottom w:val="single" w:sz="4" w:space="0" w:color="auto"/>
            </w:tcBorders>
            <w:shd w:val="clear" w:color="000000" w:fill="FFFFFF"/>
            <w:noWrap/>
            <w:vAlign w:val="bottom"/>
          </w:tcPr>
          <w:p w14:paraId="20C9599E" w14:textId="77777777" w:rsidR="00D56CDC" w:rsidRPr="000206BE" w:rsidRDefault="00D56CDC" w:rsidP="00D56CDC">
            <w:pPr>
              <w:widowControl/>
              <w:ind w:hanging="112"/>
              <w:rPr>
                <w:sz w:val="20"/>
                <w:lang w:val="en-CA" w:eastAsia="en-CA"/>
              </w:rPr>
            </w:pPr>
            <w:r w:rsidRPr="000206BE">
              <w:rPr>
                <w:sz w:val="20"/>
                <w:lang w:val="en-CA" w:eastAsia="en-CA"/>
              </w:rPr>
              <w:t>Cash</w:t>
            </w:r>
            <w:r>
              <w:rPr>
                <w:sz w:val="20"/>
                <w:lang w:val="en-CA" w:eastAsia="en-CA"/>
              </w:rPr>
              <w:t xml:space="preserve"> and cash equivalents</w:t>
            </w:r>
            <w:r w:rsidRPr="000206BE">
              <w:rPr>
                <w:sz w:val="20"/>
                <w:lang w:val="en-CA" w:eastAsia="en-CA"/>
              </w:rPr>
              <w:t xml:space="preserve">, beginning </w:t>
            </w:r>
          </w:p>
        </w:tc>
        <w:tc>
          <w:tcPr>
            <w:tcW w:w="1705" w:type="dxa"/>
            <w:tcBorders>
              <w:top w:val="nil"/>
              <w:left w:val="nil"/>
              <w:bottom w:val="single" w:sz="4" w:space="0" w:color="auto"/>
              <w:right w:val="nil"/>
            </w:tcBorders>
            <w:shd w:val="clear" w:color="000000" w:fill="FFFFFF"/>
            <w:noWrap/>
            <w:vAlign w:val="bottom"/>
          </w:tcPr>
          <w:p w14:paraId="677FC023" w14:textId="5A9D2E38" w:rsidR="00D56CDC" w:rsidRPr="000206BE" w:rsidRDefault="00B0745F" w:rsidP="00D56CDC">
            <w:pPr>
              <w:ind w:hanging="112"/>
              <w:jc w:val="right"/>
              <w:rPr>
                <w:b/>
                <w:spacing w:val="-2"/>
                <w:sz w:val="20"/>
              </w:rPr>
            </w:pPr>
            <w:r>
              <w:rPr>
                <w:b/>
                <w:spacing w:val="-2"/>
                <w:sz w:val="20"/>
              </w:rPr>
              <w:t>1,023,104</w:t>
            </w:r>
          </w:p>
        </w:tc>
        <w:tc>
          <w:tcPr>
            <w:tcW w:w="1706" w:type="dxa"/>
            <w:tcBorders>
              <w:top w:val="nil"/>
              <w:left w:val="nil"/>
              <w:bottom w:val="single" w:sz="4" w:space="0" w:color="auto"/>
              <w:right w:val="nil"/>
            </w:tcBorders>
            <w:shd w:val="clear" w:color="000000" w:fill="FFFFFF"/>
            <w:vAlign w:val="bottom"/>
          </w:tcPr>
          <w:p w14:paraId="79E8A0F4" w14:textId="2B84402E" w:rsidR="00D56CDC" w:rsidRPr="00D56CDC" w:rsidRDefault="001B4228" w:rsidP="00D56CDC">
            <w:pPr>
              <w:tabs>
                <w:tab w:val="decimal" w:pos="1131"/>
              </w:tabs>
              <w:ind w:right="-73" w:hanging="112"/>
              <w:jc w:val="right"/>
              <w:rPr>
                <w:bCs/>
                <w:spacing w:val="-2"/>
                <w:sz w:val="20"/>
              </w:rPr>
            </w:pPr>
            <w:r>
              <w:rPr>
                <w:bCs/>
                <w:spacing w:val="-2"/>
                <w:sz w:val="20"/>
              </w:rPr>
              <w:t>4,293,704</w:t>
            </w:r>
          </w:p>
        </w:tc>
      </w:tr>
      <w:tr w:rsidR="00D56CDC" w:rsidRPr="000206BE" w14:paraId="34C5D7F3" w14:textId="77777777" w:rsidTr="00D56CDC">
        <w:trPr>
          <w:trHeight w:val="288"/>
        </w:trPr>
        <w:tc>
          <w:tcPr>
            <w:tcW w:w="5940" w:type="dxa"/>
            <w:tcBorders>
              <w:top w:val="nil"/>
              <w:left w:val="nil"/>
              <w:bottom w:val="double" w:sz="4" w:space="0" w:color="auto"/>
            </w:tcBorders>
            <w:shd w:val="clear" w:color="000000" w:fill="FFFFFF"/>
            <w:noWrap/>
            <w:vAlign w:val="bottom"/>
          </w:tcPr>
          <w:p w14:paraId="2B3D7846" w14:textId="5B466D4E" w:rsidR="00D56CDC" w:rsidRPr="000206BE" w:rsidRDefault="006C24A9" w:rsidP="00D56CDC">
            <w:pPr>
              <w:widowControl/>
              <w:ind w:hanging="112"/>
              <w:rPr>
                <w:sz w:val="20"/>
                <w:lang w:val="en-CA" w:eastAsia="en-CA"/>
              </w:rPr>
            </w:pPr>
            <w:r>
              <w:rPr>
                <w:sz w:val="20"/>
                <w:lang w:val="en-CA" w:eastAsia="en-CA"/>
              </w:rPr>
              <w:t>Cash and</w:t>
            </w:r>
            <w:r w:rsidR="00D56CDC">
              <w:rPr>
                <w:sz w:val="20"/>
                <w:lang w:val="en-CA" w:eastAsia="en-CA"/>
              </w:rPr>
              <w:t xml:space="preserve"> cash equivalents, ending</w:t>
            </w:r>
          </w:p>
        </w:tc>
        <w:tc>
          <w:tcPr>
            <w:tcW w:w="1705" w:type="dxa"/>
            <w:tcBorders>
              <w:top w:val="nil"/>
              <w:left w:val="nil"/>
              <w:bottom w:val="double" w:sz="4" w:space="0" w:color="auto"/>
              <w:right w:val="nil"/>
            </w:tcBorders>
            <w:shd w:val="clear" w:color="000000" w:fill="FFFFFF"/>
            <w:noWrap/>
            <w:vAlign w:val="bottom"/>
          </w:tcPr>
          <w:p w14:paraId="703BCEBF" w14:textId="33FCE39A" w:rsidR="00D56CDC" w:rsidRPr="00D56CDC" w:rsidRDefault="00134A30" w:rsidP="00D56CDC">
            <w:pPr>
              <w:ind w:hanging="112"/>
              <w:jc w:val="right"/>
              <w:rPr>
                <w:b/>
                <w:spacing w:val="-2"/>
                <w:sz w:val="20"/>
              </w:rPr>
            </w:pPr>
            <w:r>
              <w:rPr>
                <w:b/>
                <w:spacing w:val="-2"/>
                <w:sz w:val="20"/>
              </w:rPr>
              <w:t>919,946</w:t>
            </w:r>
          </w:p>
        </w:tc>
        <w:tc>
          <w:tcPr>
            <w:tcW w:w="1706" w:type="dxa"/>
            <w:tcBorders>
              <w:top w:val="nil"/>
              <w:left w:val="nil"/>
              <w:bottom w:val="double" w:sz="4" w:space="0" w:color="auto"/>
              <w:right w:val="nil"/>
            </w:tcBorders>
            <w:shd w:val="clear" w:color="000000" w:fill="FFFFFF"/>
            <w:vAlign w:val="bottom"/>
          </w:tcPr>
          <w:p w14:paraId="1EA4D681" w14:textId="6F294523" w:rsidR="00D56CDC" w:rsidRPr="00586E8D" w:rsidRDefault="001B4228" w:rsidP="00D56CDC">
            <w:pPr>
              <w:tabs>
                <w:tab w:val="decimal" w:pos="1131"/>
              </w:tabs>
              <w:ind w:right="-73" w:hanging="112"/>
              <w:jc w:val="right"/>
              <w:rPr>
                <w:bCs/>
                <w:spacing w:val="-2"/>
                <w:sz w:val="20"/>
              </w:rPr>
            </w:pPr>
            <w:r>
              <w:rPr>
                <w:bCs/>
                <w:spacing w:val="-2"/>
                <w:sz w:val="20"/>
              </w:rPr>
              <w:t>3,281,642</w:t>
            </w:r>
          </w:p>
        </w:tc>
      </w:tr>
    </w:tbl>
    <w:p w14:paraId="710D4832" w14:textId="77777777" w:rsidR="004D2292" w:rsidRDefault="004D2292" w:rsidP="00D1270F">
      <w:pPr>
        <w:pStyle w:val="BodyText"/>
        <w:jc w:val="center"/>
        <w:rPr>
          <w:b/>
          <w:i/>
          <w:iCs/>
          <w:sz w:val="18"/>
          <w:szCs w:val="18"/>
          <w:lang w:val="en-CA" w:eastAsia="en-CA"/>
        </w:rPr>
      </w:pPr>
    </w:p>
    <w:p w14:paraId="43946FF7" w14:textId="77777777" w:rsidR="004D2292" w:rsidRDefault="004D2292" w:rsidP="00D1270F">
      <w:pPr>
        <w:pStyle w:val="BodyText"/>
        <w:jc w:val="center"/>
        <w:rPr>
          <w:b/>
          <w:i/>
          <w:iCs/>
          <w:sz w:val="18"/>
          <w:szCs w:val="18"/>
          <w:lang w:val="en-CA" w:eastAsia="en-CA"/>
        </w:rPr>
      </w:pPr>
    </w:p>
    <w:p w14:paraId="2DD07D78" w14:textId="1CD949D2" w:rsidR="00033D79" w:rsidRDefault="001122A7" w:rsidP="00D1270F">
      <w:pPr>
        <w:pStyle w:val="BodyText"/>
        <w:jc w:val="center"/>
        <w:rPr>
          <w:b/>
          <w:i/>
          <w:iCs/>
          <w:sz w:val="18"/>
          <w:szCs w:val="18"/>
          <w:lang w:val="en-CA" w:eastAsia="en-CA"/>
        </w:rPr>
      </w:pPr>
      <w:r w:rsidRPr="000206BE">
        <w:rPr>
          <w:b/>
          <w:i/>
          <w:iCs/>
          <w:sz w:val="18"/>
          <w:szCs w:val="18"/>
          <w:lang w:val="en-CA" w:eastAsia="en-CA"/>
        </w:rPr>
        <w:t>-</w:t>
      </w:r>
      <w:r w:rsidR="00CA0F92" w:rsidRPr="000206BE">
        <w:rPr>
          <w:b/>
          <w:i/>
          <w:iCs/>
          <w:sz w:val="18"/>
          <w:szCs w:val="18"/>
          <w:lang w:val="en-CA" w:eastAsia="en-CA"/>
        </w:rPr>
        <w:t>See Accompanying Notes-</w:t>
      </w:r>
    </w:p>
    <w:p w14:paraId="56F1BE8D" w14:textId="77777777" w:rsidR="00075F01" w:rsidRPr="000206BE" w:rsidRDefault="00075F01" w:rsidP="00D1270F">
      <w:pPr>
        <w:pStyle w:val="BodyText"/>
        <w:jc w:val="center"/>
        <w:rPr>
          <w:b/>
          <w:i/>
          <w:iCs/>
          <w:sz w:val="18"/>
          <w:szCs w:val="18"/>
          <w:lang w:val="en-CA" w:eastAsia="en-CA"/>
        </w:rPr>
      </w:pPr>
    </w:p>
    <w:p w14:paraId="6D0CBDC6" w14:textId="77777777" w:rsidR="00075F01" w:rsidRDefault="00075F01" w:rsidP="000F3F69">
      <w:pPr>
        <w:pStyle w:val="Normal2B"/>
        <w:widowControl/>
        <w:numPr>
          <w:ilvl w:val="0"/>
          <w:numId w:val="2"/>
        </w:numPr>
        <w:autoSpaceDE w:val="0"/>
        <w:autoSpaceDN w:val="0"/>
        <w:adjustRightInd w:val="0"/>
        <w:ind w:left="432" w:hanging="432"/>
        <w:rPr>
          <w:bCs/>
          <w:sz w:val="18"/>
          <w:szCs w:val="18"/>
        </w:rPr>
        <w:sectPr w:rsidR="00075F01" w:rsidSect="00033D79">
          <w:headerReference w:type="even" r:id="rId30"/>
          <w:headerReference w:type="default" r:id="rId31"/>
          <w:headerReference w:type="first" r:id="rId32"/>
          <w:pgSz w:w="12240" w:h="15840"/>
          <w:pgMar w:top="1220" w:right="1440" w:bottom="1440" w:left="1440" w:header="708" w:footer="708" w:gutter="0"/>
          <w:cols w:space="708"/>
          <w:docGrid w:linePitch="360"/>
        </w:sectPr>
      </w:pPr>
    </w:p>
    <w:p w14:paraId="7D16F61C" w14:textId="45FFEB36" w:rsidR="00075F01" w:rsidRPr="00075F01" w:rsidRDefault="00075F01" w:rsidP="00075F01">
      <w:pPr>
        <w:tabs>
          <w:tab w:val="left" w:pos="450"/>
        </w:tabs>
        <w:jc w:val="both"/>
        <w:rPr>
          <w:b/>
          <w:sz w:val="20"/>
        </w:rPr>
      </w:pPr>
      <w:r w:rsidRPr="00075F01">
        <w:rPr>
          <w:b/>
          <w:sz w:val="20"/>
        </w:rPr>
        <w:lastRenderedPageBreak/>
        <w:t>1.</w:t>
      </w:r>
      <w:r w:rsidRPr="00075F01">
        <w:rPr>
          <w:b/>
          <w:sz w:val="20"/>
        </w:rPr>
        <w:tab/>
        <w:t>Nature of operations and going concern</w:t>
      </w:r>
    </w:p>
    <w:p w14:paraId="2470C5C6" w14:textId="77777777" w:rsidR="00075F01" w:rsidRDefault="00075F01" w:rsidP="00075F01">
      <w:pPr>
        <w:ind w:left="448"/>
        <w:jc w:val="both"/>
        <w:rPr>
          <w:sz w:val="20"/>
        </w:rPr>
      </w:pPr>
    </w:p>
    <w:p w14:paraId="7751C958" w14:textId="5A8D5310" w:rsidR="008D293B" w:rsidRPr="000206BE" w:rsidRDefault="00B02DC9" w:rsidP="00075F01">
      <w:pPr>
        <w:ind w:left="448"/>
        <w:jc w:val="both"/>
        <w:rPr>
          <w:sz w:val="20"/>
        </w:rPr>
      </w:pPr>
      <w:proofErr w:type="spellStart"/>
      <w:r w:rsidRPr="000206BE">
        <w:rPr>
          <w:sz w:val="20"/>
        </w:rPr>
        <w:t>MegumaGold</w:t>
      </w:r>
      <w:proofErr w:type="spellEnd"/>
      <w:r w:rsidRPr="000206BE">
        <w:rPr>
          <w:sz w:val="20"/>
        </w:rPr>
        <w:t xml:space="preserve"> Corp.</w:t>
      </w:r>
      <w:r w:rsidR="005F5A01" w:rsidRPr="000206BE">
        <w:rPr>
          <w:sz w:val="20"/>
        </w:rPr>
        <w:t xml:space="preserve"> (“the Company”</w:t>
      </w:r>
      <w:r w:rsidR="00B437AC" w:rsidRPr="000206BE">
        <w:rPr>
          <w:sz w:val="20"/>
        </w:rPr>
        <w:t xml:space="preserve"> or “</w:t>
      </w:r>
      <w:proofErr w:type="spellStart"/>
      <w:r w:rsidRPr="000206BE">
        <w:rPr>
          <w:sz w:val="20"/>
        </w:rPr>
        <w:t>MegumaGold</w:t>
      </w:r>
      <w:proofErr w:type="spellEnd"/>
      <w:r w:rsidR="00B437AC" w:rsidRPr="000206BE">
        <w:rPr>
          <w:sz w:val="20"/>
        </w:rPr>
        <w:t>”</w:t>
      </w:r>
      <w:r w:rsidR="005F5A01" w:rsidRPr="000206BE">
        <w:rPr>
          <w:sz w:val="20"/>
        </w:rPr>
        <w:t xml:space="preserve">) was incorporated pursuant to the Business Corporation Act (British Columbia). </w:t>
      </w:r>
      <w:r w:rsidR="000F3581" w:rsidRPr="000206BE">
        <w:rPr>
          <w:sz w:val="20"/>
        </w:rPr>
        <w:t>The Company is</w:t>
      </w:r>
      <w:r w:rsidR="00CF6ED7" w:rsidRPr="000206BE">
        <w:rPr>
          <w:sz w:val="20"/>
        </w:rPr>
        <w:t xml:space="preserve"> a</w:t>
      </w:r>
      <w:r w:rsidR="000F3581" w:rsidRPr="000206BE">
        <w:rPr>
          <w:sz w:val="20"/>
        </w:rPr>
        <w:t xml:space="preserve"> listed issuer on the </w:t>
      </w:r>
      <w:bookmarkStart w:id="2" w:name="_Hlk518548990"/>
      <w:r w:rsidR="0036393D" w:rsidRPr="000206BE">
        <w:rPr>
          <w:sz w:val="20"/>
        </w:rPr>
        <w:t>Canadian Securities</w:t>
      </w:r>
      <w:r w:rsidR="006C233E" w:rsidRPr="000206BE">
        <w:rPr>
          <w:sz w:val="20"/>
        </w:rPr>
        <w:t xml:space="preserve"> </w:t>
      </w:r>
      <w:r w:rsidR="00420BDE" w:rsidRPr="000206BE">
        <w:rPr>
          <w:sz w:val="20"/>
        </w:rPr>
        <w:t xml:space="preserve">Exchange </w:t>
      </w:r>
      <w:r w:rsidR="006C233E" w:rsidRPr="000206BE">
        <w:rPr>
          <w:sz w:val="20"/>
        </w:rPr>
        <w:t>(“</w:t>
      </w:r>
      <w:r w:rsidR="0036393D" w:rsidRPr="000206BE">
        <w:rPr>
          <w:sz w:val="20"/>
        </w:rPr>
        <w:t>CSE</w:t>
      </w:r>
      <w:r w:rsidR="006C233E" w:rsidRPr="000206BE">
        <w:rPr>
          <w:sz w:val="20"/>
        </w:rPr>
        <w:t>”)</w:t>
      </w:r>
      <w:r w:rsidR="000F3581" w:rsidRPr="000206BE">
        <w:rPr>
          <w:sz w:val="20"/>
        </w:rPr>
        <w:t xml:space="preserve"> </w:t>
      </w:r>
      <w:bookmarkEnd w:id="2"/>
      <w:r w:rsidR="000F3581" w:rsidRPr="000206BE">
        <w:rPr>
          <w:sz w:val="20"/>
        </w:rPr>
        <w:t>under the symbol "</w:t>
      </w:r>
      <w:r w:rsidRPr="000206BE">
        <w:rPr>
          <w:sz w:val="20"/>
        </w:rPr>
        <w:t>NSAU</w:t>
      </w:r>
      <w:r w:rsidR="000F3581" w:rsidRPr="000206BE">
        <w:rPr>
          <w:sz w:val="20"/>
        </w:rPr>
        <w:t xml:space="preserve">", </w:t>
      </w:r>
      <w:r w:rsidR="008D293B" w:rsidRPr="000206BE">
        <w:rPr>
          <w:sz w:val="20"/>
        </w:rPr>
        <w:t xml:space="preserve">the </w:t>
      </w:r>
      <w:r w:rsidR="000F3581" w:rsidRPr="000206BE">
        <w:rPr>
          <w:sz w:val="20"/>
        </w:rPr>
        <w:t xml:space="preserve">Frankfurt Stock Exchange under the symbol FWB: 2CM and on the United States OTC stock market’s </w:t>
      </w:r>
      <w:r w:rsidR="00713486" w:rsidRPr="000206BE">
        <w:rPr>
          <w:sz w:val="20"/>
        </w:rPr>
        <w:t>OTC Pink</w:t>
      </w:r>
      <w:r w:rsidR="00936AED" w:rsidRPr="000206BE">
        <w:rPr>
          <w:sz w:val="20"/>
        </w:rPr>
        <w:t xml:space="preserve">, </w:t>
      </w:r>
      <w:r w:rsidR="000F3581" w:rsidRPr="000206BE">
        <w:rPr>
          <w:sz w:val="20"/>
        </w:rPr>
        <w:t xml:space="preserve">under the symbol </w:t>
      </w:r>
      <w:r w:rsidRPr="000206BE">
        <w:rPr>
          <w:sz w:val="20"/>
        </w:rPr>
        <w:t>NSAUF</w:t>
      </w:r>
      <w:r w:rsidR="007F3006" w:rsidRPr="000206BE">
        <w:rPr>
          <w:sz w:val="20"/>
        </w:rPr>
        <w:t xml:space="preserve">. </w:t>
      </w:r>
      <w:r w:rsidR="008D293B" w:rsidRPr="000206BE">
        <w:rPr>
          <w:sz w:val="20"/>
        </w:rPr>
        <w:t xml:space="preserve">The Company’s registered office is at </w:t>
      </w:r>
      <w:bookmarkStart w:id="3" w:name="_Hlk519756072"/>
      <w:r w:rsidR="00D46860" w:rsidRPr="000206BE">
        <w:rPr>
          <w:sz w:val="20"/>
        </w:rPr>
        <w:t xml:space="preserve">789 West Pender Street, Suite 810, Vancouver, British Columbia, V6C 1H2, Canada </w:t>
      </w:r>
      <w:bookmarkEnd w:id="3"/>
      <w:r w:rsidR="008D293B" w:rsidRPr="000206BE">
        <w:rPr>
          <w:sz w:val="20"/>
        </w:rPr>
        <w:t>and its head office is located at Suite 2630-1075 West Georgia Street, Vancouver, British Columbia, V6E 3C9, Canada.</w:t>
      </w:r>
    </w:p>
    <w:p w14:paraId="17A63267" w14:textId="77777777" w:rsidR="001F22E4" w:rsidRPr="000206BE" w:rsidRDefault="001F22E4" w:rsidP="001F22E4">
      <w:pPr>
        <w:ind w:left="448"/>
        <w:jc w:val="both"/>
        <w:rPr>
          <w:sz w:val="20"/>
        </w:rPr>
      </w:pPr>
    </w:p>
    <w:p w14:paraId="5DE84F97" w14:textId="77777777" w:rsidR="00A62498" w:rsidRPr="000206BE" w:rsidRDefault="00AB30A5" w:rsidP="001F22E4">
      <w:pPr>
        <w:ind w:left="448"/>
        <w:jc w:val="both"/>
        <w:rPr>
          <w:sz w:val="20"/>
        </w:rPr>
      </w:pPr>
      <w:r w:rsidRPr="000206BE">
        <w:rPr>
          <w:sz w:val="20"/>
        </w:rPr>
        <w:t>The Company is engaged in the business of acquiring, exploring and developing natural resource properties, with a focus on precious m</w:t>
      </w:r>
      <w:r w:rsidR="00FF0B21" w:rsidRPr="000206BE">
        <w:rPr>
          <w:sz w:val="20"/>
        </w:rPr>
        <w:t>etal</w:t>
      </w:r>
      <w:r w:rsidRPr="000206BE">
        <w:rPr>
          <w:sz w:val="20"/>
        </w:rPr>
        <w:t xml:space="preserve"> properties located in </w:t>
      </w:r>
      <w:r w:rsidR="00657613" w:rsidRPr="000206BE">
        <w:rPr>
          <w:sz w:val="20"/>
        </w:rPr>
        <w:t>Canada</w:t>
      </w:r>
      <w:r w:rsidRPr="000206BE">
        <w:rPr>
          <w:sz w:val="20"/>
        </w:rPr>
        <w:t>.</w:t>
      </w:r>
      <w:r w:rsidR="008D293B" w:rsidRPr="000206BE">
        <w:rPr>
          <w:sz w:val="20"/>
        </w:rPr>
        <w:t xml:space="preserve"> </w:t>
      </w:r>
    </w:p>
    <w:p w14:paraId="34423A35" w14:textId="77777777" w:rsidR="001F22E4" w:rsidRPr="000206BE" w:rsidRDefault="001F22E4" w:rsidP="001F22E4">
      <w:pPr>
        <w:ind w:left="448"/>
        <w:jc w:val="both"/>
        <w:rPr>
          <w:sz w:val="20"/>
        </w:rPr>
      </w:pPr>
    </w:p>
    <w:p w14:paraId="37A981F1" w14:textId="5C57B2E1" w:rsidR="007D6CE8" w:rsidRPr="000206BE" w:rsidRDefault="005F5A01" w:rsidP="00EE0E31">
      <w:pPr>
        <w:ind w:left="448"/>
        <w:jc w:val="both"/>
        <w:rPr>
          <w:sz w:val="20"/>
        </w:rPr>
      </w:pPr>
      <w:r w:rsidRPr="000206BE">
        <w:rPr>
          <w:sz w:val="20"/>
        </w:rPr>
        <w:t>These</w:t>
      </w:r>
      <w:r w:rsidR="00C57961" w:rsidRPr="000206BE">
        <w:rPr>
          <w:sz w:val="20"/>
        </w:rPr>
        <w:t xml:space="preserve"> </w:t>
      </w:r>
      <w:r w:rsidR="00B0745F">
        <w:rPr>
          <w:sz w:val="20"/>
        </w:rPr>
        <w:t xml:space="preserve">condensed interim </w:t>
      </w:r>
      <w:r w:rsidR="00A71CBB" w:rsidRPr="000206BE">
        <w:rPr>
          <w:sz w:val="20"/>
        </w:rPr>
        <w:t xml:space="preserve">consolidated </w:t>
      </w:r>
      <w:r w:rsidRPr="000206BE">
        <w:rPr>
          <w:sz w:val="20"/>
        </w:rPr>
        <w:t>financial statements</w:t>
      </w:r>
      <w:r w:rsidR="00900A0D" w:rsidRPr="000206BE">
        <w:rPr>
          <w:sz w:val="20"/>
        </w:rPr>
        <w:t xml:space="preserve"> </w:t>
      </w:r>
      <w:r w:rsidRPr="000206BE">
        <w:rPr>
          <w:sz w:val="20"/>
        </w:rPr>
        <w:t xml:space="preserve">have been prepared on a going-concern basis, which assumes the realization of assets and liquidation of liabilities in the normal course of business. </w:t>
      </w:r>
      <w:r w:rsidR="00D437B7" w:rsidRPr="000206BE">
        <w:rPr>
          <w:sz w:val="20"/>
        </w:rPr>
        <w:t xml:space="preserve">Several material uncertainties </w:t>
      </w:r>
      <w:r w:rsidR="005348C5" w:rsidRPr="000206BE">
        <w:rPr>
          <w:sz w:val="20"/>
        </w:rPr>
        <w:t>lend</w:t>
      </w:r>
      <w:r w:rsidR="00D437B7" w:rsidRPr="000206BE">
        <w:rPr>
          <w:sz w:val="20"/>
        </w:rPr>
        <w:t xml:space="preserve"> significant doubt on the validity of this assumption. </w:t>
      </w:r>
      <w:r w:rsidRPr="000206BE">
        <w:rPr>
          <w:sz w:val="20"/>
        </w:rPr>
        <w:t xml:space="preserve">The Company has incurred losses since inception and has no current source of revenue. </w:t>
      </w:r>
      <w:r w:rsidR="00397EB7" w:rsidRPr="00C27F29">
        <w:rPr>
          <w:sz w:val="20"/>
        </w:rPr>
        <w:t xml:space="preserve">At </w:t>
      </w:r>
      <w:r w:rsidR="00B0745F">
        <w:rPr>
          <w:sz w:val="20"/>
        </w:rPr>
        <w:t>June 30</w:t>
      </w:r>
      <w:r w:rsidR="00397EB7" w:rsidRPr="00C27F29">
        <w:rPr>
          <w:sz w:val="20"/>
        </w:rPr>
        <w:t>, 2020, the Company had a deficit of $</w:t>
      </w:r>
      <w:r w:rsidR="00140C68">
        <w:rPr>
          <w:sz w:val="20"/>
        </w:rPr>
        <w:t>23,</w:t>
      </w:r>
      <w:r w:rsidR="00F35ACB">
        <w:rPr>
          <w:sz w:val="20"/>
        </w:rPr>
        <w:t>560,081</w:t>
      </w:r>
      <w:r w:rsidR="00397EB7">
        <w:rPr>
          <w:sz w:val="20"/>
        </w:rPr>
        <w:t xml:space="preserve"> </w:t>
      </w:r>
      <w:r w:rsidR="00397EB7" w:rsidRPr="00C27F29">
        <w:rPr>
          <w:sz w:val="20"/>
        </w:rPr>
        <w:t>(20</w:t>
      </w:r>
      <w:r w:rsidR="00BC2E25">
        <w:rPr>
          <w:sz w:val="20"/>
        </w:rPr>
        <w:t>20</w:t>
      </w:r>
      <w:r w:rsidR="00397EB7" w:rsidRPr="00C27F29">
        <w:rPr>
          <w:sz w:val="20"/>
        </w:rPr>
        <w:t xml:space="preserve"> - $2</w:t>
      </w:r>
      <w:r w:rsidR="0016043E">
        <w:rPr>
          <w:sz w:val="20"/>
        </w:rPr>
        <w:t>3</w:t>
      </w:r>
      <w:r w:rsidR="00397EB7" w:rsidRPr="00C27F29">
        <w:rPr>
          <w:sz w:val="20"/>
        </w:rPr>
        <w:t>,</w:t>
      </w:r>
      <w:r w:rsidR="0016043E">
        <w:rPr>
          <w:sz w:val="20"/>
        </w:rPr>
        <w:t>480</w:t>
      </w:r>
      <w:r w:rsidR="00397EB7" w:rsidRPr="00C27F29">
        <w:rPr>
          <w:sz w:val="20"/>
        </w:rPr>
        <w:t>,</w:t>
      </w:r>
      <w:r w:rsidR="0016043E">
        <w:rPr>
          <w:sz w:val="20"/>
        </w:rPr>
        <w:t>591</w:t>
      </w:r>
      <w:r w:rsidR="00397EB7" w:rsidRPr="00C27F29">
        <w:rPr>
          <w:sz w:val="20"/>
        </w:rPr>
        <w:t>) and working capital of $</w:t>
      </w:r>
      <w:r w:rsidR="0016043E">
        <w:rPr>
          <w:sz w:val="20"/>
        </w:rPr>
        <w:t>34</w:t>
      </w:r>
      <w:r w:rsidR="00834B50">
        <w:rPr>
          <w:sz w:val="20"/>
        </w:rPr>
        <w:t>5,128</w:t>
      </w:r>
      <w:r w:rsidR="00397EB7" w:rsidRPr="00C27F29">
        <w:rPr>
          <w:sz w:val="20"/>
        </w:rPr>
        <w:t xml:space="preserve"> (20</w:t>
      </w:r>
      <w:r w:rsidR="0016043E">
        <w:rPr>
          <w:sz w:val="20"/>
        </w:rPr>
        <w:t>20</w:t>
      </w:r>
      <w:r w:rsidR="004602D5">
        <w:rPr>
          <w:sz w:val="20"/>
        </w:rPr>
        <w:t xml:space="preserve"> - $</w:t>
      </w:r>
      <w:r w:rsidR="0016043E">
        <w:rPr>
          <w:sz w:val="20"/>
        </w:rPr>
        <w:t>495,107</w:t>
      </w:r>
      <w:r w:rsidR="00397EB7" w:rsidRPr="00C27F29">
        <w:rPr>
          <w:sz w:val="20"/>
        </w:rPr>
        <w:t xml:space="preserve">).  </w:t>
      </w:r>
      <w:r w:rsidRPr="000206BE">
        <w:rPr>
          <w:sz w:val="20"/>
        </w:rPr>
        <w:t>Continuing operations, as intended, are dependent on management’s ability to raise required funding through future equity issuances, its ability to acquire resource property or business interests and develop profitable ope</w:t>
      </w:r>
      <w:r w:rsidRPr="00C27F29">
        <w:rPr>
          <w:sz w:val="20"/>
        </w:rPr>
        <w:t>rations or a combination</w:t>
      </w:r>
      <w:r w:rsidR="00936AED" w:rsidRPr="00C27F29">
        <w:rPr>
          <w:sz w:val="20"/>
        </w:rPr>
        <w:t xml:space="preserve"> thereof, which is not assured </w:t>
      </w:r>
      <w:r w:rsidRPr="00C27F29">
        <w:rPr>
          <w:sz w:val="20"/>
        </w:rPr>
        <w:t>given the volatile and unce</w:t>
      </w:r>
      <w:r w:rsidR="00900A0D" w:rsidRPr="00C27F29">
        <w:rPr>
          <w:sz w:val="20"/>
        </w:rPr>
        <w:t xml:space="preserve">rtain financial markets. </w:t>
      </w:r>
      <w:r w:rsidR="00EE0E31" w:rsidRPr="00C27F29">
        <w:rPr>
          <w:sz w:val="20"/>
        </w:rPr>
        <w:t>There can be no assurance that the Company will be able to continue to raise funds, in which case the Company may be</w:t>
      </w:r>
      <w:r w:rsidR="00EE0E31" w:rsidRPr="000206BE">
        <w:rPr>
          <w:sz w:val="20"/>
        </w:rPr>
        <w:t xml:space="preserve"> unable to meet its obligations.</w:t>
      </w:r>
      <w:r w:rsidR="00EE0E31">
        <w:rPr>
          <w:sz w:val="20"/>
        </w:rPr>
        <w:t xml:space="preserve"> These factors indicate that the existence of a material uncertainty that may cast significant doubt about the Company’s ability to continue as going concern.</w:t>
      </w:r>
      <w:r w:rsidR="00C54A80">
        <w:rPr>
          <w:sz w:val="20"/>
        </w:rPr>
        <w:t xml:space="preserve"> </w:t>
      </w:r>
      <w:r w:rsidR="00900A0D" w:rsidRPr="000206BE">
        <w:rPr>
          <w:sz w:val="20"/>
        </w:rPr>
        <w:t>These</w:t>
      </w:r>
      <w:r w:rsidR="004F3432" w:rsidRPr="000206BE">
        <w:rPr>
          <w:sz w:val="20"/>
        </w:rPr>
        <w:t xml:space="preserve"> </w:t>
      </w:r>
      <w:r w:rsidR="00691173" w:rsidRPr="000206BE">
        <w:rPr>
          <w:sz w:val="20"/>
        </w:rPr>
        <w:t>consolidated f</w:t>
      </w:r>
      <w:r w:rsidR="00900A0D" w:rsidRPr="000206BE">
        <w:rPr>
          <w:sz w:val="20"/>
        </w:rPr>
        <w:t xml:space="preserve">inancial </w:t>
      </w:r>
      <w:r w:rsidR="00691173" w:rsidRPr="000206BE">
        <w:rPr>
          <w:sz w:val="20"/>
        </w:rPr>
        <w:t>s</w:t>
      </w:r>
      <w:r w:rsidRPr="000206BE">
        <w:rPr>
          <w:sz w:val="20"/>
        </w:rPr>
        <w:t>tatements do not include any adjustments to the recoverability and classification of recorded asset amounts and classification of liabilities that might be necessary should the Company be unable to conti</w:t>
      </w:r>
      <w:r w:rsidR="00EB318E" w:rsidRPr="000206BE">
        <w:rPr>
          <w:sz w:val="20"/>
        </w:rPr>
        <w:t xml:space="preserve">nue as a going concern. </w:t>
      </w:r>
    </w:p>
    <w:p w14:paraId="2FFC5A84" w14:textId="77777777" w:rsidR="00C54A80" w:rsidRDefault="00C54A80" w:rsidP="00C54A80">
      <w:pPr>
        <w:ind w:left="448"/>
        <w:jc w:val="both"/>
        <w:rPr>
          <w:sz w:val="20"/>
        </w:rPr>
      </w:pPr>
    </w:p>
    <w:p w14:paraId="2652BB08" w14:textId="4EDDD9E1" w:rsidR="00C54A80" w:rsidRPr="00C54A80" w:rsidRDefault="00C54A80" w:rsidP="00C54A80">
      <w:pPr>
        <w:ind w:left="448"/>
        <w:jc w:val="both"/>
        <w:rPr>
          <w:sz w:val="20"/>
        </w:rPr>
      </w:pPr>
      <w:r w:rsidRPr="00610864">
        <w:rPr>
          <w:sz w:val="20"/>
        </w:rPr>
        <w:t>In March 2020 the World Health Organization declared coronavirus COVID-19 a global pandemic. This contagious disease outbreak, which has continued to spread, and any related adverse public health developments, has adversely affected workforces, economies, and financial markets globally, potentially leading to an economic downturn. The impact on the Company is not currently determinable but management continues to monitor the situation</w:t>
      </w:r>
      <w:r>
        <w:rPr>
          <w:sz w:val="20"/>
        </w:rPr>
        <w:t>.</w:t>
      </w:r>
    </w:p>
    <w:p w14:paraId="7CEAB9A3" w14:textId="77777777" w:rsidR="00E13F16" w:rsidRPr="00C54A80" w:rsidRDefault="00E13F16" w:rsidP="00E13F16">
      <w:pPr>
        <w:ind w:left="446"/>
        <w:jc w:val="both"/>
        <w:rPr>
          <w:sz w:val="20"/>
          <w:lang w:val="en-GB"/>
        </w:rPr>
      </w:pPr>
    </w:p>
    <w:p w14:paraId="53E0A02B" w14:textId="506C152F" w:rsidR="005F5A01" w:rsidRPr="00075F01" w:rsidRDefault="00075F01" w:rsidP="00075F01">
      <w:pPr>
        <w:tabs>
          <w:tab w:val="left" w:pos="450"/>
        </w:tabs>
        <w:jc w:val="both"/>
        <w:rPr>
          <w:b/>
          <w:sz w:val="20"/>
        </w:rPr>
      </w:pPr>
      <w:r>
        <w:rPr>
          <w:b/>
          <w:sz w:val="20"/>
        </w:rPr>
        <w:t>2.</w:t>
      </w:r>
      <w:r>
        <w:rPr>
          <w:b/>
          <w:sz w:val="20"/>
        </w:rPr>
        <w:tab/>
      </w:r>
      <w:r w:rsidR="00677651" w:rsidRPr="00075F01">
        <w:rPr>
          <w:b/>
          <w:sz w:val="20"/>
        </w:rPr>
        <w:t>Basis of presentation</w:t>
      </w:r>
      <w:r w:rsidR="00CB3FEA" w:rsidRPr="00075F01">
        <w:rPr>
          <w:b/>
          <w:sz w:val="20"/>
        </w:rPr>
        <w:t xml:space="preserve"> </w:t>
      </w:r>
    </w:p>
    <w:p w14:paraId="6B6D787F" w14:textId="77777777" w:rsidR="001F22E4" w:rsidRPr="000206BE" w:rsidRDefault="001F22E4" w:rsidP="001F22E4">
      <w:pPr>
        <w:pStyle w:val="Normal2B"/>
        <w:widowControl/>
        <w:autoSpaceDE w:val="0"/>
        <w:autoSpaceDN w:val="0"/>
        <w:adjustRightInd w:val="0"/>
        <w:ind w:left="425"/>
        <w:rPr>
          <w:rFonts w:ascii="Times New Roman" w:hAnsi="Times New Roman"/>
          <w:caps w:val="0"/>
          <w:spacing w:val="0"/>
          <w:sz w:val="20"/>
          <w:lang w:val="en-US"/>
        </w:rPr>
      </w:pPr>
    </w:p>
    <w:p w14:paraId="7BEAE0D0" w14:textId="5841AB04" w:rsidR="00315068" w:rsidRPr="0050090B" w:rsidRDefault="00315068" w:rsidP="00315068">
      <w:pPr>
        <w:ind w:left="448"/>
        <w:jc w:val="both"/>
        <w:rPr>
          <w:sz w:val="20"/>
        </w:rPr>
      </w:pPr>
      <w:r w:rsidRPr="0050090B">
        <w:rPr>
          <w:sz w:val="20"/>
        </w:rPr>
        <w:t>These condensed interim consolidated financial statements have been prepared in accordance with International Financial Reporting Standards (“IFRS”) as issued by the International Accounting Standards Board (“IASB”) and in accordance with IAS 34 – Interim Financial Reporting. These condensed interim consolidated financial statements do not include all of the information required for annual financial statements and should be read in conjunction with the Company’s audited financial statements for the year ended March 31, 20</w:t>
      </w:r>
      <w:r>
        <w:rPr>
          <w:sz w:val="20"/>
        </w:rPr>
        <w:t>20</w:t>
      </w:r>
      <w:r w:rsidRPr="0050090B">
        <w:rPr>
          <w:sz w:val="20"/>
        </w:rPr>
        <w:t>. These financial statements have been prepared following the same accounting policies as the Company’s audited financial statements for the year ended March 31, 20</w:t>
      </w:r>
      <w:r>
        <w:rPr>
          <w:sz w:val="20"/>
        </w:rPr>
        <w:t>20</w:t>
      </w:r>
      <w:r w:rsidRPr="0050090B">
        <w:rPr>
          <w:sz w:val="20"/>
        </w:rPr>
        <w:t>.</w:t>
      </w:r>
    </w:p>
    <w:p w14:paraId="65FA037F" w14:textId="77777777" w:rsidR="000206BE" w:rsidRPr="000206BE" w:rsidRDefault="000206BE" w:rsidP="000206BE">
      <w:pPr>
        <w:ind w:left="448"/>
        <w:jc w:val="both"/>
        <w:rPr>
          <w:sz w:val="20"/>
        </w:rPr>
      </w:pPr>
    </w:p>
    <w:p w14:paraId="43650830" w14:textId="6DF512E5" w:rsidR="000206BE" w:rsidRPr="000206BE" w:rsidRDefault="000206BE" w:rsidP="000206BE">
      <w:pPr>
        <w:ind w:left="448"/>
        <w:jc w:val="both"/>
        <w:rPr>
          <w:sz w:val="20"/>
        </w:rPr>
      </w:pPr>
      <w:r w:rsidRPr="00C23A79">
        <w:rPr>
          <w:sz w:val="20"/>
        </w:rPr>
        <w:t xml:space="preserve">The Board of Directors approved these consolidated financial statements </w:t>
      </w:r>
      <w:r w:rsidRPr="006C1094">
        <w:rPr>
          <w:sz w:val="20"/>
        </w:rPr>
        <w:t xml:space="preserve">on </w:t>
      </w:r>
      <w:r w:rsidR="00315068" w:rsidRPr="006C1094">
        <w:rPr>
          <w:sz w:val="20"/>
        </w:rPr>
        <w:t xml:space="preserve">August </w:t>
      </w:r>
      <w:r w:rsidR="006C1094" w:rsidRPr="006C1094">
        <w:rPr>
          <w:sz w:val="20"/>
        </w:rPr>
        <w:t>31</w:t>
      </w:r>
      <w:r w:rsidRPr="006C1094">
        <w:rPr>
          <w:sz w:val="20"/>
        </w:rPr>
        <w:t>, 20</w:t>
      </w:r>
      <w:r w:rsidR="00315068" w:rsidRPr="006C1094">
        <w:rPr>
          <w:sz w:val="20"/>
        </w:rPr>
        <w:t>20</w:t>
      </w:r>
      <w:r w:rsidRPr="006C1094">
        <w:rPr>
          <w:sz w:val="20"/>
        </w:rPr>
        <w:t>.</w:t>
      </w:r>
    </w:p>
    <w:p w14:paraId="15F7E63E" w14:textId="77777777" w:rsidR="001F22E4" w:rsidRPr="000206BE" w:rsidRDefault="001F22E4" w:rsidP="001F22E4">
      <w:pPr>
        <w:autoSpaceDE w:val="0"/>
        <w:autoSpaceDN w:val="0"/>
        <w:adjustRightInd w:val="0"/>
        <w:ind w:left="432"/>
        <w:jc w:val="both"/>
        <w:rPr>
          <w:sz w:val="20"/>
        </w:rPr>
      </w:pPr>
    </w:p>
    <w:p w14:paraId="624892F7" w14:textId="77777777" w:rsidR="00A10C43" w:rsidRPr="000206BE" w:rsidRDefault="00A10C43" w:rsidP="001F22E4">
      <w:pPr>
        <w:autoSpaceDE w:val="0"/>
        <w:autoSpaceDN w:val="0"/>
        <w:adjustRightInd w:val="0"/>
        <w:ind w:left="432"/>
        <w:jc w:val="both"/>
        <w:rPr>
          <w:b/>
          <w:sz w:val="20"/>
        </w:rPr>
      </w:pPr>
      <w:r w:rsidRPr="000206BE">
        <w:rPr>
          <w:b/>
          <w:sz w:val="20"/>
        </w:rPr>
        <w:t>Basis of measurement</w:t>
      </w:r>
    </w:p>
    <w:p w14:paraId="153B01A6" w14:textId="77777777" w:rsidR="001F22E4" w:rsidRPr="000206BE" w:rsidRDefault="001F22E4" w:rsidP="001F22E4">
      <w:pPr>
        <w:autoSpaceDE w:val="0"/>
        <w:autoSpaceDN w:val="0"/>
        <w:adjustRightInd w:val="0"/>
        <w:ind w:left="432"/>
        <w:jc w:val="both"/>
        <w:rPr>
          <w:b/>
          <w:sz w:val="20"/>
        </w:rPr>
      </w:pPr>
    </w:p>
    <w:p w14:paraId="47BE2E12" w14:textId="5CE3CAC2" w:rsidR="001A32D3" w:rsidRDefault="001A32D3" w:rsidP="001A32D3">
      <w:pPr>
        <w:autoSpaceDE w:val="0"/>
        <w:autoSpaceDN w:val="0"/>
        <w:adjustRightInd w:val="0"/>
        <w:ind w:left="425"/>
        <w:jc w:val="both"/>
        <w:rPr>
          <w:sz w:val="20"/>
        </w:rPr>
      </w:pPr>
      <w:r w:rsidRPr="0050090B">
        <w:rPr>
          <w:sz w:val="20"/>
        </w:rPr>
        <w:t xml:space="preserve">These condensed interim consolidated financial statements have been prepared using the accrual basis of accounting except for cash flow information. In addition, these condensed interim consolidated financial statements have been prepared on the historical-cost basis, except for the revaluation of certain financial assets and financial liabilities to fair value. </w:t>
      </w:r>
    </w:p>
    <w:p w14:paraId="29E660D3" w14:textId="061D4B28" w:rsidR="001A32D3" w:rsidRDefault="001A32D3" w:rsidP="001A32D3">
      <w:pPr>
        <w:autoSpaceDE w:val="0"/>
        <w:autoSpaceDN w:val="0"/>
        <w:adjustRightInd w:val="0"/>
        <w:ind w:left="425"/>
        <w:jc w:val="both"/>
        <w:rPr>
          <w:sz w:val="20"/>
        </w:rPr>
      </w:pPr>
    </w:p>
    <w:p w14:paraId="2CD90277" w14:textId="1C406D45" w:rsidR="001A32D3" w:rsidRDefault="001A32D3" w:rsidP="001A32D3">
      <w:pPr>
        <w:autoSpaceDE w:val="0"/>
        <w:autoSpaceDN w:val="0"/>
        <w:adjustRightInd w:val="0"/>
        <w:ind w:left="425"/>
        <w:jc w:val="both"/>
        <w:rPr>
          <w:sz w:val="20"/>
        </w:rPr>
      </w:pPr>
    </w:p>
    <w:p w14:paraId="6EACA1F7" w14:textId="6FCE7FE2" w:rsidR="001A32D3" w:rsidRDefault="001A32D3" w:rsidP="001A32D3">
      <w:pPr>
        <w:autoSpaceDE w:val="0"/>
        <w:autoSpaceDN w:val="0"/>
        <w:adjustRightInd w:val="0"/>
        <w:ind w:left="425"/>
        <w:jc w:val="both"/>
        <w:rPr>
          <w:sz w:val="20"/>
        </w:rPr>
      </w:pPr>
    </w:p>
    <w:p w14:paraId="600CE461" w14:textId="69A25100" w:rsidR="001A32D3" w:rsidRDefault="001A32D3" w:rsidP="001A32D3">
      <w:pPr>
        <w:autoSpaceDE w:val="0"/>
        <w:autoSpaceDN w:val="0"/>
        <w:adjustRightInd w:val="0"/>
        <w:ind w:left="425"/>
        <w:jc w:val="both"/>
        <w:rPr>
          <w:sz w:val="20"/>
        </w:rPr>
      </w:pPr>
    </w:p>
    <w:p w14:paraId="7AA2BE88" w14:textId="77777777" w:rsidR="001A32D3" w:rsidRPr="00075F01" w:rsidRDefault="001A32D3" w:rsidP="001A32D3">
      <w:pPr>
        <w:tabs>
          <w:tab w:val="left" w:pos="450"/>
        </w:tabs>
        <w:jc w:val="both"/>
        <w:rPr>
          <w:b/>
          <w:sz w:val="20"/>
        </w:rPr>
      </w:pPr>
      <w:r w:rsidRPr="00075F01">
        <w:rPr>
          <w:b/>
          <w:sz w:val="20"/>
        </w:rPr>
        <w:lastRenderedPageBreak/>
        <w:t>2.</w:t>
      </w:r>
      <w:r w:rsidRPr="00075F01">
        <w:rPr>
          <w:b/>
          <w:sz w:val="20"/>
        </w:rPr>
        <w:tab/>
        <w:t>Basis of presentation (Continued)</w:t>
      </w:r>
    </w:p>
    <w:p w14:paraId="05B11A76" w14:textId="77777777" w:rsidR="00BB0655" w:rsidRDefault="00BB0655" w:rsidP="00507D54">
      <w:pPr>
        <w:tabs>
          <w:tab w:val="left" w:pos="450"/>
        </w:tabs>
        <w:autoSpaceDE w:val="0"/>
        <w:autoSpaceDN w:val="0"/>
        <w:adjustRightInd w:val="0"/>
        <w:ind w:left="426"/>
        <w:jc w:val="both"/>
        <w:rPr>
          <w:sz w:val="20"/>
        </w:rPr>
      </w:pPr>
    </w:p>
    <w:p w14:paraId="7650D803" w14:textId="77777777" w:rsidR="00BB0655" w:rsidRPr="000206BE" w:rsidRDefault="00BB0655" w:rsidP="00BB0655">
      <w:pPr>
        <w:tabs>
          <w:tab w:val="left" w:pos="450"/>
        </w:tabs>
        <w:autoSpaceDE w:val="0"/>
        <w:autoSpaceDN w:val="0"/>
        <w:adjustRightInd w:val="0"/>
        <w:spacing w:after="120"/>
        <w:ind w:left="426"/>
        <w:jc w:val="both"/>
        <w:rPr>
          <w:b/>
          <w:sz w:val="20"/>
        </w:rPr>
      </w:pPr>
      <w:r w:rsidRPr="000206BE">
        <w:rPr>
          <w:b/>
          <w:sz w:val="20"/>
        </w:rPr>
        <w:t>Basis of consolidation</w:t>
      </w:r>
    </w:p>
    <w:p w14:paraId="11CC5B21" w14:textId="5A9523BC" w:rsidR="00DD362A" w:rsidRPr="00C54A80" w:rsidRDefault="00BB0655" w:rsidP="00C54A80">
      <w:pPr>
        <w:ind w:left="448"/>
        <w:jc w:val="both"/>
        <w:rPr>
          <w:sz w:val="20"/>
        </w:rPr>
      </w:pPr>
      <w:r w:rsidRPr="000206BE">
        <w:rPr>
          <w:sz w:val="20"/>
        </w:rPr>
        <w:t xml:space="preserve">These </w:t>
      </w:r>
      <w:r w:rsidR="001A32D3" w:rsidRPr="0050090B">
        <w:rPr>
          <w:sz w:val="20"/>
        </w:rPr>
        <w:t xml:space="preserve">condensed interim </w:t>
      </w:r>
      <w:r w:rsidRPr="000206BE">
        <w:rPr>
          <w:sz w:val="20"/>
        </w:rPr>
        <w:t>consolidated financial statements incorporate the financial statements of the Company and the entities controlled by the Company. Control exists when the Company has the power, directly or indirectly, to govern the financial and operating policies of an entity so as to obtain benefits from its activities. The financial statements of subsidiaries are included in the consolidated financial statements from the date that control commences until the date that control ceases. All intercompany transactions and balances have been eliminated.</w:t>
      </w:r>
    </w:p>
    <w:p w14:paraId="6D90E3C6" w14:textId="77777777" w:rsidR="00192CAD" w:rsidRPr="000206BE" w:rsidRDefault="00192CAD" w:rsidP="00192CAD">
      <w:pPr>
        <w:tabs>
          <w:tab w:val="left" w:pos="450"/>
        </w:tabs>
        <w:autoSpaceDE w:val="0"/>
        <w:autoSpaceDN w:val="0"/>
        <w:adjustRightInd w:val="0"/>
        <w:ind w:left="426"/>
        <w:jc w:val="both"/>
        <w:rPr>
          <w:b/>
          <w:sz w:val="20"/>
        </w:rPr>
      </w:pPr>
    </w:p>
    <w:p w14:paraId="6A7F1CC3" w14:textId="77777777" w:rsidR="002C39D6" w:rsidRPr="000206BE" w:rsidRDefault="002C39D6" w:rsidP="001F22E4">
      <w:pPr>
        <w:autoSpaceDE w:val="0"/>
        <w:autoSpaceDN w:val="0"/>
        <w:adjustRightInd w:val="0"/>
        <w:ind w:left="425"/>
        <w:jc w:val="both"/>
        <w:rPr>
          <w:b/>
          <w:sz w:val="20"/>
        </w:rPr>
      </w:pPr>
      <w:r w:rsidRPr="000206BE">
        <w:rPr>
          <w:b/>
          <w:sz w:val="20"/>
        </w:rPr>
        <w:t>Significant Subsidiar</w:t>
      </w:r>
      <w:r w:rsidR="00C568C1" w:rsidRPr="000206BE">
        <w:rPr>
          <w:b/>
          <w:sz w:val="20"/>
        </w:rPr>
        <w:t>ies</w:t>
      </w:r>
      <w:r w:rsidRPr="000206BE">
        <w:rPr>
          <w:b/>
          <w:sz w:val="20"/>
        </w:rPr>
        <w:t xml:space="preserve"> (Consolidated) – Ownership</w:t>
      </w:r>
    </w:p>
    <w:p w14:paraId="297F4C2B" w14:textId="77777777" w:rsidR="002C39D6" w:rsidRPr="000206BE" w:rsidRDefault="002C39D6" w:rsidP="001F22E4">
      <w:pPr>
        <w:autoSpaceDE w:val="0"/>
        <w:autoSpaceDN w:val="0"/>
        <w:adjustRightInd w:val="0"/>
        <w:ind w:left="425"/>
        <w:jc w:val="both"/>
        <w:rPr>
          <w:sz w:val="20"/>
        </w:rPr>
      </w:pPr>
    </w:p>
    <w:tbl>
      <w:tblPr>
        <w:tblW w:w="9000" w:type="dxa"/>
        <w:tblInd w:w="450" w:type="dxa"/>
        <w:tblLayout w:type="fixed"/>
        <w:tblLook w:val="04A0" w:firstRow="1" w:lastRow="0" w:firstColumn="1" w:lastColumn="0" w:noHBand="0" w:noVBand="1"/>
      </w:tblPr>
      <w:tblGrid>
        <w:gridCol w:w="4500"/>
        <w:gridCol w:w="1800"/>
        <w:gridCol w:w="1260"/>
        <w:gridCol w:w="1440"/>
      </w:tblGrid>
      <w:tr w:rsidR="00F8789B" w:rsidRPr="000206BE" w14:paraId="6A5BCF3F" w14:textId="77777777" w:rsidTr="007600F8">
        <w:trPr>
          <w:trHeight w:val="384"/>
        </w:trPr>
        <w:tc>
          <w:tcPr>
            <w:tcW w:w="4500" w:type="dxa"/>
            <w:tcBorders>
              <w:top w:val="double" w:sz="4" w:space="0" w:color="auto"/>
              <w:left w:val="nil"/>
              <w:bottom w:val="single" w:sz="4" w:space="0" w:color="auto"/>
              <w:right w:val="nil"/>
            </w:tcBorders>
            <w:shd w:val="clear" w:color="auto" w:fill="auto"/>
            <w:noWrap/>
            <w:vAlign w:val="bottom"/>
            <w:hideMark/>
          </w:tcPr>
          <w:p w14:paraId="1399D39B" w14:textId="77777777" w:rsidR="00F8789B" w:rsidRPr="000206BE" w:rsidRDefault="00F8789B" w:rsidP="00F8789B">
            <w:pPr>
              <w:autoSpaceDE w:val="0"/>
              <w:autoSpaceDN w:val="0"/>
              <w:adjustRightInd w:val="0"/>
              <w:rPr>
                <w:b/>
                <w:sz w:val="20"/>
              </w:rPr>
            </w:pPr>
          </w:p>
        </w:tc>
        <w:tc>
          <w:tcPr>
            <w:tcW w:w="1800" w:type="dxa"/>
            <w:tcBorders>
              <w:top w:val="double" w:sz="4" w:space="0" w:color="auto"/>
              <w:left w:val="nil"/>
              <w:bottom w:val="single" w:sz="4" w:space="0" w:color="auto"/>
              <w:right w:val="nil"/>
            </w:tcBorders>
          </w:tcPr>
          <w:p w14:paraId="0F57ADD0" w14:textId="77777777" w:rsidR="00F8789B" w:rsidRPr="000206BE" w:rsidRDefault="00F8789B" w:rsidP="00F8789B">
            <w:pPr>
              <w:autoSpaceDE w:val="0"/>
              <w:autoSpaceDN w:val="0"/>
              <w:adjustRightInd w:val="0"/>
              <w:ind w:firstLine="19"/>
              <w:jc w:val="right"/>
              <w:rPr>
                <w:b/>
                <w:bCs/>
                <w:sz w:val="20"/>
              </w:rPr>
            </w:pPr>
            <w:r w:rsidRPr="000206BE">
              <w:rPr>
                <w:b/>
                <w:bCs/>
                <w:sz w:val="20"/>
              </w:rPr>
              <w:t>Country of Incorporation</w:t>
            </w:r>
          </w:p>
        </w:tc>
        <w:tc>
          <w:tcPr>
            <w:tcW w:w="1260" w:type="dxa"/>
            <w:tcBorders>
              <w:top w:val="double" w:sz="4" w:space="0" w:color="auto"/>
              <w:left w:val="nil"/>
              <w:bottom w:val="single" w:sz="4" w:space="0" w:color="auto"/>
              <w:right w:val="nil"/>
            </w:tcBorders>
            <w:shd w:val="clear" w:color="auto" w:fill="auto"/>
            <w:hideMark/>
          </w:tcPr>
          <w:p w14:paraId="31B3C97F" w14:textId="5732D9C6" w:rsidR="00F8789B" w:rsidRPr="000206BE" w:rsidRDefault="001A32D3" w:rsidP="00F8789B">
            <w:pPr>
              <w:autoSpaceDE w:val="0"/>
              <w:autoSpaceDN w:val="0"/>
              <w:adjustRightInd w:val="0"/>
              <w:jc w:val="right"/>
              <w:rPr>
                <w:b/>
                <w:bCs/>
                <w:sz w:val="20"/>
              </w:rPr>
            </w:pPr>
            <w:r>
              <w:rPr>
                <w:b/>
                <w:bCs/>
                <w:sz w:val="20"/>
              </w:rPr>
              <w:t>June 30</w:t>
            </w:r>
            <w:r w:rsidR="00F8789B" w:rsidRPr="000206BE">
              <w:rPr>
                <w:b/>
                <w:bCs/>
                <w:sz w:val="20"/>
              </w:rPr>
              <w:t>, 20</w:t>
            </w:r>
            <w:r w:rsidR="00F8789B">
              <w:rPr>
                <w:b/>
                <w:bCs/>
                <w:sz w:val="20"/>
              </w:rPr>
              <w:t>20</w:t>
            </w:r>
          </w:p>
        </w:tc>
        <w:tc>
          <w:tcPr>
            <w:tcW w:w="1440" w:type="dxa"/>
            <w:tcBorders>
              <w:top w:val="double" w:sz="4" w:space="0" w:color="auto"/>
              <w:left w:val="nil"/>
              <w:bottom w:val="single" w:sz="4" w:space="0" w:color="auto"/>
              <w:right w:val="nil"/>
            </w:tcBorders>
            <w:shd w:val="clear" w:color="auto" w:fill="auto"/>
            <w:hideMark/>
          </w:tcPr>
          <w:p w14:paraId="5945EB2C" w14:textId="7D3F8B89" w:rsidR="00F8789B" w:rsidRPr="000206BE" w:rsidRDefault="00F8789B" w:rsidP="00F8789B">
            <w:pPr>
              <w:autoSpaceDE w:val="0"/>
              <w:autoSpaceDN w:val="0"/>
              <w:adjustRightInd w:val="0"/>
              <w:jc w:val="right"/>
              <w:rPr>
                <w:b/>
                <w:bCs/>
                <w:sz w:val="20"/>
              </w:rPr>
            </w:pPr>
            <w:r w:rsidRPr="000206BE">
              <w:rPr>
                <w:b/>
                <w:bCs/>
                <w:sz w:val="20"/>
              </w:rPr>
              <w:t>March 31, 20</w:t>
            </w:r>
            <w:r w:rsidR="001A32D3">
              <w:rPr>
                <w:b/>
                <w:bCs/>
                <w:sz w:val="20"/>
              </w:rPr>
              <w:t>20</w:t>
            </w:r>
          </w:p>
        </w:tc>
      </w:tr>
      <w:tr w:rsidR="00F8789B" w:rsidRPr="000206BE" w14:paraId="53BDD650" w14:textId="77777777" w:rsidTr="00C27F29">
        <w:trPr>
          <w:trHeight w:val="153"/>
        </w:trPr>
        <w:tc>
          <w:tcPr>
            <w:tcW w:w="4500" w:type="dxa"/>
            <w:tcBorders>
              <w:top w:val="single" w:sz="4" w:space="0" w:color="auto"/>
              <w:left w:val="nil"/>
              <w:right w:val="nil"/>
            </w:tcBorders>
            <w:shd w:val="clear" w:color="auto" w:fill="auto"/>
            <w:noWrap/>
            <w:vAlign w:val="bottom"/>
          </w:tcPr>
          <w:p w14:paraId="5F2AA30A" w14:textId="77777777" w:rsidR="00F8789B" w:rsidRPr="000206BE" w:rsidRDefault="00F8789B" w:rsidP="00F8789B">
            <w:pPr>
              <w:autoSpaceDE w:val="0"/>
              <w:autoSpaceDN w:val="0"/>
              <w:adjustRightInd w:val="0"/>
              <w:ind w:left="425" w:hanging="425"/>
              <w:rPr>
                <w:sz w:val="20"/>
              </w:rPr>
            </w:pPr>
            <w:r w:rsidRPr="000206BE">
              <w:rPr>
                <w:sz w:val="20"/>
              </w:rPr>
              <w:t>1156219 B.C. Ltd.</w:t>
            </w:r>
          </w:p>
        </w:tc>
        <w:tc>
          <w:tcPr>
            <w:tcW w:w="1800" w:type="dxa"/>
            <w:tcBorders>
              <w:top w:val="single" w:sz="4" w:space="0" w:color="auto"/>
              <w:left w:val="nil"/>
              <w:right w:val="nil"/>
            </w:tcBorders>
          </w:tcPr>
          <w:p w14:paraId="01BD99D8" w14:textId="77777777" w:rsidR="00F8789B" w:rsidRPr="000206BE" w:rsidRDefault="00F8789B" w:rsidP="00F8789B">
            <w:pPr>
              <w:autoSpaceDE w:val="0"/>
              <w:autoSpaceDN w:val="0"/>
              <w:adjustRightInd w:val="0"/>
              <w:ind w:left="425"/>
              <w:jc w:val="right"/>
              <w:rPr>
                <w:sz w:val="20"/>
              </w:rPr>
            </w:pPr>
            <w:r w:rsidRPr="000206BE">
              <w:rPr>
                <w:sz w:val="20"/>
              </w:rPr>
              <w:t>Canada</w:t>
            </w:r>
          </w:p>
        </w:tc>
        <w:tc>
          <w:tcPr>
            <w:tcW w:w="1260" w:type="dxa"/>
            <w:tcBorders>
              <w:top w:val="single" w:sz="4" w:space="0" w:color="auto"/>
              <w:left w:val="nil"/>
              <w:right w:val="nil"/>
            </w:tcBorders>
            <w:shd w:val="clear" w:color="auto" w:fill="auto"/>
            <w:noWrap/>
            <w:vAlign w:val="bottom"/>
          </w:tcPr>
          <w:p w14:paraId="61C39376" w14:textId="77777777" w:rsidR="00F8789B" w:rsidRPr="000206BE" w:rsidRDefault="00F8789B" w:rsidP="00F8789B">
            <w:pPr>
              <w:autoSpaceDE w:val="0"/>
              <w:autoSpaceDN w:val="0"/>
              <w:adjustRightInd w:val="0"/>
              <w:jc w:val="right"/>
              <w:rPr>
                <w:sz w:val="20"/>
              </w:rPr>
            </w:pPr>
            <w:r w:rsidRPr="000206BE">
              <w:rPr>
                <w:sz w:val="20"/>
              </w:rPr>
              <w:t>100%</w:t>
            </w:r>
          </w:p>
        </w:tc>
        <w:tc>
          <w:tcPr>
            <w:tcW w:w="1440" w:type="dxa"/>
            <w:tcBorders>
              <w:top w:val="single" w:sz="4" w:space="0" w:color="auto"/>
              <w:left w:val="nil"/>
              <w:right w:val="nil"/>
            </w:tcBorders>
            <w:shd w:val="clear" w:color="auto" w:fill="auto"/>
            <w:noWrap/>
            <w:vAlign w:val="bottom"/>
          </w:tcPr>
          <w:p w14:paraId="26FD0537" w14:textId="787133AA" w:rsidR="00F8789B" w:rsidRPr="000206BE" w:rsidRDefault="00F8789B" w:rsidP="00F8789B">
            <w:pPr>
              <w:autoSpaceDE w:val="0"/>
              <w:autoSpaceDN w:val="0"/>
              <w:adjustRightInd w:val="0"/>
              <w:jc w:val="right"/>
              <w:rPr>
                <w:sz w:val="20"/>
              </w:rPr>
            </w:pPr>
            <w:r w:rsidRPr="000206BE">
              <w:rPr>
                <w:sz w:val="20"/>
              </w:rPr>
              <w:t>100%</w:t>
            </w:r>
          </w:p>
        </w:tc>
      </w:tr>
      <w:tr w:rsidR="00F8789B" w:rsidRPr="000206BE" w14:paraId="11382988" w14:textId="77777777" w:rsidTr="00C27F29">
        <w:trPr>
          <w:trHeight w:val="153"/>
        </w:trPr>
        <w:tc>
          <w:tcPr>
            <w:tcW w:w="4500" w:type="dxa"/>
            <w:tcBorders>
              <w:left w:val="nil"/>
              <w:right w:val="nil"/>
            </w:tcBorders>
            <w:shd w:val="clear" w:color="auto" w:fill="auto"/>
            <w:noWrap/>
            <w:vAlign w:val="bottom"/>
          </w:tcPr>
          <w:p w14:paraId="34D391E8" w14:textId="68DD78DE" w:rsidR="00F8789B" w:rsidRPr="000206BE" w:rsidRDefault="00F8789B" w:rsidP="00F8789B">
            <w:pPr>
              <w:autoSpaceDE w:val="0"/>
              <w:autoSpaceDN w:val="0"/>
              <w:adjustRightInd w:val="0"/>
              <w:rPr>
                <w:sz w:val="20"/>
              </w:rPr>
            </w:pPr>
            <w:r>
              <w:rPr>
                <w:sz w:val="20"/>
              </w:rPr>
              <w:t>1156222 B.C</w:t>
            </w:r>
            <w:r w:rsidR="000118E3">
              <w:rPr>
                <w:sz w:val="20"/>
              </w:rPr>
              <w:t>.</w:t>
            </w:r>
            <w:r>
              <w:rPr>
                <w:sz w:val="20"/>
              </w:rPr>
              <w:t xml:space="preserve"> Ltd.</w:t>
            </w:r>
          </w:p>
        </w:tc>
        <w:tc>
          <w:tcPr>
            <w:tcW w:w="1800" w:type="dxa"/>
            <w:tcBorders>
              <w:left w:val="nil"/>
              <w:right w:val="nil"/>
            </w:tcBorders>
          </w:tcPr>
          <w:p w14:paraId="339138C4" w14:textId="77777777" w:rsidR="00F8789B" w:rsidRPr="000206BE" w:rsidRDefault="00F8789B" w:rsidP="00F8789B">
            <w:pPr>
              <w:autoSpaceDE w:val="0"/>
              <w:autoSpaceDN w:val="0"/>
              <w:adjustRightInd w:val="0"/>
              <w:jc w:val="right"/>
              <w:rPr>
                <w:sz w:val="20"/>
              </w:rPr>
            </w:pPr>
            <w:r w:rsidRPr="000206BE">
              <w:rPr>
                <w:sz w:val="20"/>
              </w:rPr>
              <w:t>Canada</w:t>
            </w:r>
          </w:p>
        </w:tc>
        <w:tc>
          <w:tcPr>
            <w:tcW w:w="1260" w:type="dxa"/>
            <w:tcBorders>
              <w:left w:val="nil"/>
              <w:right w:val="nil"/>
            </w:tcBorders>
            <w:shd w:val="clear" w:color="auto" w:fill="auto"/>
            <w:noWrap/>
            <w:vAlign w:val="bottom"/>
          </w:tcPr>
          <w:p w14:paraId="653B759E" w14:textId="77777777" w:rsidR="00F8789B" w:rsidRPr="000206BE" w:rsidRDefault="00F8789B" w:rsidP="00F8789B">
            <w:pPr>
              <w:autoSpaceDE w:val="0"/>
              <w:autoSpaceDN w:val="0"/>
              <w:adjustRightInd w:val="0"/>
              <w:jc w:val="right"/>
              <w:rPr>
                <w:sz w:val="20"/>
              </w:rPr>
            </w:pPr>
            <w:r w:rsidRPr="000206BE">
              <w:rPr>
                <w:sz w:val="20"/>
              </w:rPr>
              <w:t>100%</w:t>
            </w:r>
          </w:p>
        </w:tc>
        <w:tc>
          <w:tcPr>
            <w:tcW w:w="1440" w:type="dxa"/>
            <w:tcBorders>
              <w:left w:val="nil"/>
              <w:right w:val="nil"/>
            </w:tcBorders>
            <w:shd w:val="clear" w:color="auto" w:fill="auto"/>
            <w:noWrap/>
            <w:vAlign w:val="bottom"/>
          </w:tcPr>
          <w:p w14:paraId="351C1401" w14:textId="29D7E756" w:rsidR="00F8789B" w:rsidRPr="000206BE" w:rsidRDefault="00F8789B" w:rsidP="00F8789B">
            <w:pPr>
              <w:autoSpaceDE w:val="0"/>
              <w:autoSpaceDN w:val="0"/>
              <w:adjustRightInd w:val="0"/>
              <w:jc w:val="right"/>
              <w:rPr>
                <w:sz w:val="20"/>
              </w:rPr>
            </w:pPr>
            <w:r w:rsidRPr="000206BE">
              <w:rPr>
                <w:sz w:val="20"/>
              </w:rPr>
              <w:t>100%</w:t>
            </w:r>
          </w:p>
        </w:tc>
      </w:tr>
      <w:tr w:rsidR="005A78C4" w:rsidRPr="000206BE" w14:paraId="3B5DD66A" w14:textId="77777777" w:rsidTr="00C27F29">
        <w:trPr>
          <w:trHeight w:val="153"/>
        </w:trPr>
        <w:tc>
          <w:tcPr>
            <w:tcW w:w="4500" w:type="dxa"/>
            <w:tcBorders>
              <w:left w:val="nil"/>
              <w:bottom w:val="double" w:sz="4" w:space="0" w:color="auto"/>
              <w:right w:val="nil"/>
            </w:tcBorders>
            <w:shd w:val="clear" w:color="auto" w:fill="auto"/>
            <w:noWrap/>
            <w:vAlign w:val="bottom"/>
          </w:tcPr>
          <w:p w14:paraId="47E4BA56" w14:textId="5AD29B58" w:rsidR="005A78C4" w:rsidRPr="000206BE" w:rsidRDefault="005A78C4" w:rsidP="005A78C4">
            <w:pPr>
              <w:autoSpaceDE w:val="0"/>
              <w:autoSpaceDN w:val="0"/>
              <w:adjustRightInd w:val="0"/>
              <w:rPr>
                <w:sz w:val="20"/>
              </w:rPr>
            </w:pPr>
            <w:r>
              <w:rPr>
                <w:sz w:val="20"/>
              </w:rPr>
              <w:t>1161097 B.C. Ltd.</w:t>
            </w:r>
          </w:p>
        </w:tc>
        <w:tc>
          <w:tcPr>
            <w:tcW w:w="1800" w:type="dxa"/>
            <w:tcBorders>
              <w:left w:val="nil"/>
              <w:bottom w:val="double" w:sz="4" w:space="0" w:color="auto"/>
              <w:right w:val="nil"/>
            </w:tcBorders>
          </w:tcPr>
          <w:p w14:paraId="2CCD590D" w14:textId="5C9E5549" w:rsidR="005A78C4" w:rsidRPr="000206BE" w:rsidRDefault="005A78C4" w:rsidP="005A78C4">
            <w:pPr>
              <w:autoSpaceDE w:val="0"/>
              <w:autoSpaceDN w:val="0"/>
              <w:adjustRightInd w:val="0"/>
              <w:jc w:val="right"/>
              <w:rPr>
                <w:sz w:val="20"/>
              </w:rPr>
            </w:pPr>
            <w:r w:rsidRPr="000206BE">
              <w:rPr>
                <w:sz w:val="20"/>
              </w:rPr>
              <w:t>Canada</w:t>
            </w:r>
          </w:p>
        </w:tc>
        <w:tc>
          <w:tcPr>
            <w:tcW w:w="1260" w:type="dxa"/>
            <w:tcBorders>
              <w:left w:val="nil"/>
              <w:bottom w:val="double" w:sz="4" w:space="0" w:color="auto"/>
              <w:right w:val="nil"/>
            </w:tcBorders>
            <w:shd w:val="clear" w:color="auto" w:fill="auto"/>
            <w:noWrap/>
            <w:vAlign w:val="bottom"/>
          </w:tcPr>
          <w:p w14:paraId="5CDE101A" w14:textId="413AB4F3" w:rsidR="005A78C4" w:rsidRPr="000206BE" w:rsidRDefault="005A78C4" w:rsidP="005A78C4">
            <w:pPr>
              <w:autoSpaceDE w:val="0"/>
              <w:autoSpaceDN w:val="0"/>
              <w:adjustRightInd w:val="0"/>
              <w:jc w:val="right"/>
              <w:rPr>
                <w:sz w:val="20"/>
              </w:rPr>
            </w:pPr>
            <w:r w:rsidRPr="000206BE">
              <w:rPr>
                <w:sz w:val="20"/>
              </w:rPr>
              <w:t>100%</w:t>
            </w:r>
          </w:p>
        </w:tc>
        <w:tc>
          <w:tcPr>
            <w:tcW w:w="1440" w:type="dxa"/>
            <w:tcBorders>
              <w:left w:val="nil"/>
              <w:bottom w:val="double" w:sz="4" w:space="0" w:color="auto"/>
              <w:right w:val="nil"/>
            </w:tcBorders>
            <w:shd w:val="clear" w:color="auto" w:fill="auto"/>
            <w:noWrap/>
            <w:vAlign w:val="bottom"/>
          </w:tcPr>
          <w:p w14:paraId="4E1CA11E" w14:textId="043CA98B" w:rsidR="005A78C4" w:rsidRPr="000206BE" w:rsidRDefault="005A78C4" w:rsidP="005A78C4">
            <w:pPr>
              <w:autoSpaceDE w:val="0"/>
              <w:autoSpaceDN w:val="0"/>
              <w:adjustRightInd w:val="0"/>
              <w:jc w:val="right"/>
              <w:rPr>
                <w:sz w:val="20"/>
              </w:rPr>
            </w:pPr>
            <w:r w:rsidRPr="000206BE">
              <w:rPr>
                <w:sz w:val="20"/>
              </w:rPr>
              <w:t>100%</w:t>
            </w:r>
          </w:p>
        </w:tc>
      </w:tr>
    </w:tbl>
    <w:p w14:paraId="19F7642C" w14:textId="77777777" w:rsidR="00C568C1" w:rsidRPr="000206BE" w:rsidRDefault="00C568C1" w:rsidP="001F22E4">
      <w:pPr>
        <w:autoSpaceDE w:val="0"/>
        <w:autoSpaceDN w:val="0"/>
        <w:adjustRightInd w:val="0"/>
        <w:ind w:left="426"/>
        <w:jc w:val="both"/>
        <w:rPr>
          <w:b/>
          <w:sz w:val="20"/>
        </w:rPr>
      </w:pPr>
    </w:p>
    <w:p w14:paraId="42CAA049" w14:textId="77777777" w:rsidR="000178BA" w:rsidRPr="000206BE" w:rsidRDefault="000178BA" w:rsidP="00F13E61">
      <w:pPr>
        <w:autoSpaceDE w:val="0"/>
        <w:autoSpaceDN w:val="0"/>
        <w:adjustRightInd w:val="0"/>
        <w:spacing w:after="120"/>
        <w:ind w:left="426"/>
        <w:jc w:val="both"/>
        <w:rPr>
          <w:b/>
          <w:sz w:val="20"/>
        </w:rPr>
      </w:pPr>
      <w:r w:rsidRPr="000206BE">
        <w:rPr>
          <w:b/>
          <w:sz w:val="20"/>
        </w:rPr>
        <w:t>Functional and presentation currency</w:t>
      </w:r>
    </w:p>
    <w:p w14:paraId="7273E21D" w14:textId="573FB598" w:rsidR="000206BE" w:rsidRPr="000206BE" w:rsidRDefault="000206BE" w:rsidP="000206BE">
      <w:pPr>
        <w:autoSpaceDE w:val="0"/>
        <w:autoSpaceDN w:val="0"/>
        <w:adjustRightInd w:val="0"/>
        <w:ind w:left="425"/>
        <w:jc w:val="both"/>
        <w:rPr>
          <w:sz w:val="20"/>
        </w:rPr>
      </w:pPr>
      <w:r w:rsidRPr="000206BE">
        <w:rPr>
          <w:sz w:val="20"/>
        </w:rPr>
        <w:t xml:space="preserve">Items included in the </w:t>
      </w:r>
      <w:r w:rsidR="001A32D3" w:rsidRPr="0050090B">
        <w:rPr>
          <w:sz w:val="20"/>
        </w:rPr>
        <w:t xml:space="preserve">condensed interim </w:t>
      </w:r>
      <w:r w:rsidRPr="000206BE">
        <w:rPr>
          <w:sz w:val="20"/>
        </w:rPr>
        <w:t xml:space="preserve">consolidated financial statements of the Company and its subsidiary are measured using the currency of the primary economic environment in which the entity operates (the “Functional Currency”). The </w:t>
      </w:r>
      <w:r w:rsidR="000946F1" w:rsidRPr="0050090B">
        <w:rPr>
          <w:sz w:val="20"/>
        </w:rPr>
        <w:t xml:space="preserve">condensed interim </w:t>
      </w:r>
      <w:r w:rsidRPr="000206BE">
        <w:rPr>
          <w:sz w:val="20"/>
        </w:rPr>
        <w:t xml:space="preserve">consolidated financial statements are presented in Canadian dollars, which is the Functional Currency of the Company and </w:t>
      </w:r>
      <w:r w:rsidR="00B672A5">
        <w:rPr>
          <w:sz w:val="20"/>
        </w:rPr>
        <w:t xml:space="preserve">all </w:t>
      </w:r>
      <w:r w:rsidRPr="000206BE">
        <w:rPr>
          <w:sz w:val="20"/>
        </w:rPr>
        <w:t>its subsidiar</w:t>
      </w:r>
      <w:r w:rsidR="00B672A5">
        <w:rPr>
          <w:sz w:val="20"/>
        </w:rPr>
        <w:t>ies</w:t>
      </w:r>
      <w:r w:rsidRPr="000206BE">
        <w:rPr>
          <w:sz w:val="20"/>
        </w:rPr>
        <w:t xml:space="preserve">. </w:t>
      </w:r>
    </w:p>
    <w:p w14:paraId="62B66B51" w14:textId="77777777" w:rsidR="005F0105" w:rsidRPr="000206BE" w:rsidRDefault="005F0105" w:rsidP="001F22E4">
      <w:pPr>
        <w:autoSpaceDE w:val="0"/>
        <w:autoSpaceDN w:val="0"/>
        <w:adjustRightInd w:val="0"/>
        <w:ind w:left="425"/>
        <w:jc w:val="both"/>
        <w:rPr>
          <w:sz w:val="20"/>
        </w:rPr>
      </w:pPr>
    </w:p>
    <w:p w14:paraId="0B3FFB24" w14:textId="77777777" w:rsidR="00F77BE3" w:rsidRPr="000206BE" w:rsidRDefault="00C57961" w:rsidP="001F22E4">
      <w:pPr>
        <w:autoSpaceDE w:val="0"/>
        <w:autoSpaceDN w:val="0"/>
        <w:adjustRightInd w:val="0"/>
        <w:ind w:left="425" w:hanging="425"/>
        <w:jc w:val="both"/>
        <w:rPr>
          <w:b/>
          <w:spacing w:val="-2"/>
          <w:sz w:val="20"/>
        </w:rPr>
      </w:pPr>
      <w:bookmarkStart w:id="4" w:name="_Hlk521659247"/>
      <w:r w:rsidRPr="000206BE">
        <w:rPr>
          <w:b/>
          <w:spacing w:val="-2"/>
          <w:sz w:val="20"/>
        </w:rPr>
        <w:t>3</w:t>
      </w:r>
      <w:r w:rsidR="00664DCF" w:rsidRPr="000206BE">
        <w:rPr>
          <w:b/>
          <w:spacing w:val="-2"/>
          <w:sz w:val="20"/>
        </w:rPr>
        <w:t>.</w:t>
      </w:r>
      <w:r w:rsidR="00F77BE3" w:rsidRPr="000206BE">
        <w:rPr>
          <w:b/>
          <w:spacing w:val="-2"/>
          <w:sz w:val="20"/>
        </w:rPr>
        <w:tab/>
      </w:r>
      <w:r w:rsidR="00C86502" w:rsidRPr="000206BE">
        <w:rPr>
          <w:b/>
          <w:spacing w:val="-2"/>
          <w:sz w:val="20"/>
        </w:rPr>
        <w:t xml:space="preserve">Significant Accounting Policies </w:t>
      </w:r>
    </w:p>
    <w:p w14:paraId="69FC7A63" w14:textId="362E2EBB" w:rsidR="00356C26" w:rsidRDefault="00356C26" w:rsidP="001F22E4">
      <w:pPr>
        <w:autoSpaceDE w:val="0"/>
        <w:autoSpaceDN w:val="0"/>
        <w:adjustRightInd w:val="0"/>
        <w:ind w:left="425" w:hanging="425"/>
        <w:jc w:val="both"/>
        <w:rPr>
          <w:bCs/>
          <w:spacing w:val="-2"/>
          <w:sz w:val="20"/>
        </w:rPr>
      </w:pPr>
      <w:r>
        <w:rPr>
          <w:bCs/>
          <w:spacing w:val="-2"/>
          <w:sz w:val="20"/>
        </w:rPr>
        <w:tab/>
      </w:r>
    </w:p>
    <w:p w14:paraId="6A0ABAE5" w14:textId="07A94555" w:rsidR="00356C26" w:rsidRPr="0050090B" w:rsidRDefault="00356C26" w:rsidP="00356C26">
      <w:pPr>
        <w:autoSpaceDE w:val="0"/>
        <w:autoSpaceDN w:val="0"/>
        <w:adjustRightInd w:val="0"/>
        <w:ind w:left="425"/>
        <w:jc w:val="both"/>
        <w:rPr>
          <w:sz w:val="20"/>
        </w:rPr>
      </w:pPr>
      <w:r w:rsidRPr="0050090B">
        <w:rPr>
          <w:sz w:val="20"/>
        </w:rPr>
        <w:t>In preparing these condensed consolidated interim financial statements, the significant accounting policies and the significant judgments made by management in applying the Company’s significant accounting policies and key sources of estimation uncertainty were the same as those that applied to the Company’s audited consolidated financial statements for the year ended March 31, 20</w:t>
      </w:r>
      <w:r>
        <w:rPr>
          <w:sz w:val="20"/>
        </w:rPr>
        <w:t>20</w:t>
      </w:r>
      <w:r w:rsidRPr="0050090B">
        <w:rPr>
          <w:sz w:val="20"/>
        </w:rPr>
        <w:t>, with exception to the new accounting standards adopted by the Company discussed below.</w:t>
      </w:r>
    </w:p>
    <w:p w14:paraId="38B0D469" w14:textId="77777777" w:rsidR="00356C26" w:rsidRPr="0050090B" w:rsidRDefault="00356C26" w:rsidP="00356C26">
      <w:pPr>
        <w:autoSpaceDE w:val="0"/>
        <w:autoSpaceDN w:val="0"/>
        <w:adjustRightInd w:val="0"/>
        <w:ind w:left="425"/>
        <w:jc w:val="both"/>
        <w:rPr>
          <w:sz w:val="20"/>
        </w:rPr>
      </w:pPr>
    </w:p>
    <w:p w14:paraId="72D1853A" w14:textId="77777777" w:rsidR="00356C26" w:rsidRPr="0050090B" w:rsidRDefault="00356C26" w:rsidP="00356C26">
      <w:pPr>
        <w:autoSpaceDE w:val="0"/>
        <w:autoSpaceDN w:val="0"/>
        <w:adjustRightInd w:val="0"/>
        <w:ind w:left="425"/>
        <w:jc w:val="both"/>
        <w:rPr>
          <w:sz w:val="20"/>
        </w:rPr>
      </w:pPr>
      <w:r w:rsidRPr="0050090B">
        <w:rPr>
          <w:sz w:val="20"/>
        </w:rPr>
        <w:t xml:space="preserve">The preparation of condensed consolidated interim financial statements requires that the Company’s management make judgments and estimates of effects of uncertain future events on the carrying amounts of the Company’s assets and liabilities at the end of the reporting period. Actual future outcomes could differ from present estimates and judgments, potentially having material future effects on the Company’s condensed interim financial statements. Estimates are reviewed on an ongoing basis and are based on historical experience and other facts and circumstances. Revisions to estimates and the resulting effects on the carrying amounts of the Company’s assets and liabilities are accounted for prospectively. </w:t>
      </w:r>
    </w:p>
    <w:p w14:paraId="6AF0EE0A" w14:textId="77777777" w:rsidR="00356C26" w:rsidRPr="0050090B" w:rsidRDefault="00356C26" w:rsidP="00356C26">
      <w:pPr>
        <w:autoSpaceDE w:val="0"/>
        <w:autoSpaceDN w:val="0"/>
        <w:adjustRightInd w:val="0"/>
        <w:ind w:left="425"/>
        <w:jc w:val="both"/>
        <w:rPr>
          <w:sz w:val="20"/>
        </w:rPr>
      </w:pPr>
    </w:p>
    <w:p w14:paraId="37E8EC18" w14:textId="207A004E" w:rsidR="00356C26" w:rsidRPr="0050090B" w:rsidRDefault="00356C26" w:rsidP="00356C26">
      <w:pPr>
        <w:autoSpaceDE w:val="0"/>
        <w:autoSpaceDN w:val="0"/>
        <w:adjustRightInd w:val="0"/>
        <w:ind w:left="425"/>
        <w:jc w:val="both"/>
        <w:rPr>
          <w:sz w:val="20"/>
          <w:u w:val="single"/>
        </w:rPr>
      </w:pPr>
      <w:r w:rsidRPr="0050090B">
        <w:rPr>
          <w:sz w:val="20"/>
          <w:u w:val="single"/>
        </w:rPr>
        <w:t>Several amendments to existing accounting standards became effective January 1, 2019 and were first adopted by the Company in the</w:t>
      </w:r>
      <w:r>
        <w:rPr>
          <w:sz w:val="20"/>
          <w:u w:val="single"/>
        </w:rPr>
        <w:t xml:space="preserve"> year</w:t>
      </w:r>
      <w:r w:rsidRPr="0050090B">
        <w:rPr>
          <w:sz w:val="20"/>
          <w:u w:val="single"/>
        </w:rPr>
        <w:t xml:space="preserve"> ended </w:t>
      </w:r>
      <w:r>
        <w:rPr>
          <w:sz w:val="20"/>
          <w:u w:val="single"/>
        </w:rPr>
        <w:t>March 31</w:t>
      </w:r>
      <w:r w:rsidRPr="0050090B">
        <w:rPr>
          <w:sz w:val="20"/>
          <w:u w:val="single"/>
        </w:rPr>
        <w:t>, 20</w:t>
      </w:r>
      <w:r>
        <w:rPr>
          <w:sz w:val="20"/>
          <w:u w:val="single"/>
        </w:rPr>
        <w:t>20:</w:t>
      </w:r>
    </w:p>
    <w:p w14:paraId="7DB6354C" w14:textId="77777777" w:rsidR="00356C26" w:rsidRPr="0050090B" w:rsidRDefault="00356C26" w:rsidP="00356C26">
      <w:pPr>
        <w:autoSpaceDE w:val="0"/>
        <w:autoSpaceDN w:val="0"/>
        <w:adjustRightInd w:val="0"/>
        <w:ind w:left="425"/>
        <w:jc w:val="both"/>
        <w:rPr>
          <w:sz w:val="20"/>
        </w:rPr>
      </w:pPr>
    </w:p>
    <w:p w14:paraId="5227A9FB" w14:textId="77777777" w:rsidR="00356C26" w:rsidRPr="0050090B" w:rsidRDefault="00356C26" w:rsidP="00356C26">
      <w:pPr>
        <w:autoSpaceDE w:val="0"/>
        <w:autoSpaceDN w:val="0"/>
        <w:adjustRightInd w:val="0"/>
        <w:ind w:left="425"/>
        <w:jc w:val="both"/>
        <w:rPr>
          <w:i/>
          <w:sz w:val="20"/>
        </w:rPr>
      </w:pPr>
      <w:r w:rsidRPr="0050090B">
        <w:rPr>
          <w:i/>
          <w:sz w:val="20"/>
        </w:rPr>
        <w:t xml:space="preserve">IFRS 16 Leases </w:t>
      </w:r>
    </w:p>
    <w:p w14:paraId="3B092751" w14:textId="77777777" w:rsidR="006C1094" w:rsidRDefault="006C1094" w:rsidP="00356C26">
      <w:pPr>
        <w:autoSpaceDE w:val="0"/>
        <w:autoSpaceDN w:val="0"/>
        <w:adjustRightInd w:val="0"/>
        <w:ind w:left="425"/>
        <w:jc w:val="both"/>
        <w:rPr>
          <w:sz w:val="20"/>
        </w:rPr>
      </w:pPr>
    </w:p>
    <w:p w14:paraId="0BCA8F49" w14:textId="56B0E84F" w:rsidR="00356C26" w:rsidRPr="00356C26" w:rsidRDefault="00356C26" w:rsidP="00356C26">
      <w:pPr>
        <w:autoSpaceDE w:val="0"/>
        <w:autoSpaceDN w:val="0"/>
        <w:adjustRightInd w:val="0"/>
        <w:ind w:left="425"/>
        <w:jc w:val="both"/>
        <w:rPr>
          <w:bCs/>
          <w:spacing w:val="-2"/>
          <w:sz w:val="20"/>
        </w:rPr>
      </w:pPr>
      <w:proofErr w:type="spellStart"/>
      <w:r w:rsidRPr="0050090B">
        <w:rPr>
          <w:sz w:val="20"/>
        </w:rPr>
        <w:t>IFRS</w:t>
      </w:r>
      <w:proofErr w:type="spellEnd"/>
      <w:r w:rsidRPr="0050090B">
        <w:rPr>
          <w:sz w:val="20"/>
        </w:rPr>
        <w:t xml:space="preserve"> 16 specifies how an IFRS reporter will recognize, measure, present and </w:t>
      </w:r>
      <w:proofErr w:type="gramStart"/>
      <w:r w:rsidRPr="0050090B">
        <w:rPr>
          <w:sz w:val="20"/>
        </w:rPr>
        <w:t>disclose</w:t>
      </w:r>
      <w:proofErr w:type="gramEnd"/>
      <w:r w:rsidRPr="0050090B">
        <w:rPr>
          <w:sz w:val="20"/>
        </w:rPr>
        <w:t xml:space="preserve"> leases. The standard provides a single lessee accounting model, requiring lessees to recognize assets and liabilities for all leases unless the lease term is 12 months or less or the underlying asset has a low value. Lessors continue to classify leases as operating or finance, with IFRS 16’s approach to lessor accounting substantially unchanged from its predecessor, IAS 17 Leases. This change has had no impact on the Company’s financial statements.</w:t>
      </w:r>
    </w:p>
    <w:p w14:paraId="2FDBFCB9" w14:textId="77777777" w:rsidR="00356C26" w:rsidRDefault="00356C26" w:rsidP="004A5139">
      <w:pPr>
        <w:spacing w:after="120"/>
        <w:ind w:left="426"/>
        <w:jc w:val="both"/>
        <w:rPr>
          <w:sz w:val="20"/>
        </w:rPr>
      </w:pPr>
    </w:p>
    <w:p w14:paraId="00123926" w14:textId="77777777" w:rsidR="00356C26" w:rsidRDefault="00356C26" w:rsidP="004A5139">
      <w:pPr>
        <w:spacing w:after="120"/>
        <w:ind w:left="426"/>
        <w:jc w:val="both"/>
        <w:rPr>
          <w:sz w:val="20"/>
        </w:rPr>
      </w:pPr>
    </w:p>
    <w:p w14:paraId="31E95335" w14:textId="77777777" w:rsidR="00356C26" w:rsidRDefault="00356C26" w:rsidP="004A5139">
      <w:pPr>
        <w:spacing w:after="120"/>
        <w:ind w:left="426"/>
        <w:jc w:val="both"/>
        <w:rPr>
          <w:sz w:val="20"/>
        </w:rPr>
      </w:pPr>
    </w:p>
    <w:p w14:paraId="437217E7" w14:textId="160FFC5C" w:rsidR="00075F01" w:rsidRDefault="00075F01" w:rsidP="00075F01">
      <w:pPr>
        <w:autoSpaceDE w:val="0"/>
        <w:autoSpaceDN w:val="0"/>
        <w:adjustRightInd w:val="0"/>
        <w:ind w:left="425" w:hanging="425"/>
        <w:jc w:val="both"/>
        <w:rPr>
          <w:b/>
          <w:spacing w:val="-2"/>
          <w:sz w:val="20"/>
        </w:rPr>
      </w:pPr>
      <w:r>
        <w:rPr>
          <w:b/>
          <w:spacing w:val="-2"/>
          <w:sz w:val="20"/>
        </w:rPr>
        <w:t>3.</w:t>
      </w:r>
      <w:r>
        <w:rPr>
          <w:b/>
          <w:spacing w:val="-2"/>
          <w:sz w:val="20"/>
        </w:rPr>
        <w:tab/>
      </w:r>
      <w:r w:rsidRPr="00075F01">
        <w:rPr>
          <w:b/>
          <w:spacing w:val="-2"/>
          <w:sz w:val="20"/>
        </w:rPr>
        <w:t>Significant accounting policies (continued)</w:t>
      </w:r>
    </w:p>
    <w:p w14:paraId="7E51176E" w14:textId="77777777" w:rsidR="00075F01" w:rsidRPr="00075F01" w:rsidRDefault="00075F01" w:rsidP="00075F01">
      <w:pPr>
        <w:autoSpaceDE w:val="0"/>
        <w:autoSpaceDN w:val="0"/>
        <w:adjustRightInd w:val="0"/>
        <w:ind w:left="425" w:hanging="425"/>
        <w:jc w:val="both"/>
        <w:rPr>
          <w:b/>
          <w:spacing w:val="-2"/>
          <w:sz w:val="20"/>
        </w:rPr>
      </w:pPr>
    </w:p>
    <w:p w14:paraId="12A72B44" w14:textId="4C422AA0" w:rsidR="00C522A3" w:rsidRPr="000206BE" w:rsidRDefault="00C9116C" w:rsidP="004A5139">
      <w:pPr>
        <w:widowControl/>
        <w:tabs>
          <w:tab w:val="left" w:pos="900"/>
        </w:tabs>
        <w:suppressAutoHyphens/>
        <w:overflowPunct w:val="0"/>
        <w:autoSpaceDE w:val="0"/>
        <w:autoSpaceDN w:val="0"/>
        <w:adjustRightInd w:val="0"/>
        <w:spacing w:after="120"/>
        <w:ind w:left="450"/>
        <w:jc w:val="both"/>
        <w:textAlignment w:val="baseline"/>
        <w:rPr>
          <w:b/>
          <w:spacing w:val="-3"/>
          <w:sz w:val="20"/>
        </w:rPr>
      </w:pPr>
      <w:r w:rsidRPr="00C9116C">
        <w:rPr>
          <w:b/>
          <w:spacing w:val="-3"/>
          <w:sz w:val="20"/>
        </w:rPr>
        <w:t xml:space="preserve">IFRS 16 – Leases </w:t>
      </w:r>
    </w:p>
    <w:p w14:paraId="3C235E64" w14:textId="3607D72F" w:rsidR="00C9116C" w:rsidRDefault="00C9116C" w:rsidP="004A5139">
      <w:pPr>
        <w:spacing w:after="120"/>
        <w:ind w:left="426"/>
        <w:jc w:val="both"/>
        <w:rPr>
          <w:sz w:val="20"/>
        </w:rPr>
      </w:pPr>
      <w:r w:rsidRPr="00090E74">
        <w:rPr>
          <w:rFonts w:eastAsia="PMingLiU"/>
          <w:iCs/>
          <w:sz w:val="20"/>
        </w:rPr>
        <w:t>The Company adopted IFRS</w:t>
      </w:r>
      <w:r w:rsidRPr="00C522A3">
        <w:rPr>
          <w:rFonts w:eastAsia="PMingLiU"/>
          <w:iCs/>
          <w:sz w:val="20"/>
        </w:rPr>
        <w:t xml:space="preserve"> 16 - Leases </w:t>
      </w:r>
      <w:r>
        <w:rPr>
          <w:rFonts w:eastAsia="PMingLiU"/>
          <w:iCs/>
          <w:sz w:val="20"/>
        </w:rPr>
        <w:t xml:space="preserve">on </w:t>
      </w:r>
      <w:r w:rsidR="004A5139">
        <w:rPr>
          <w:rFonts w:eastAsia="PMingLiU"/>
          <w:iCs/>
          <w:sz w:val="20"/>
        </w:rPr>
        <w:t xml:space="preserve">April </w:t>
      </w:r>
      <w:r>
        <w:rPr>
          <w:rFonts w:eastAsia="PMingLiU"/>
          <w:iCs/>
          <w:sz w:val="20"/>
        </w:rPr>
        <w:t xml:space="preserve">1, 2019 </w:t>
      </w:r>
      <w:r w:rsidRPr="00C522A3">
        <w:rPr>
          <w:rFonts w:eastAsia="PMingLiU"/>
          <w:iCs/>
          <w:sz w:val="20"/>
        </w:rPr>
        <w:t>which replaces IAS 17</w:t>
      </w:r>
      <w:r w:rsidR="003A58B0" w:rsidRPr="003A58B0">
        <w:rPr>
          <w:rFonts w:eastAsia="PMingLiU"/>
          <w:iCs/>
          <w:sz w:val="20"/>
        </w:rPr>
        <w:t xml:space="preserve"> </w:t>
      </w:r>
      <w:r w:rsidR="003A58B0">
        <w:rPr>
          <w:rFonts w:eastAsia="PMingLiU"/>
          <w:iCs/>
          <w:sz w:val="20"/>
        </w:rPr>
        <w:t xml:space="preserve">- </w:t>
      </w:r>
      <w:r w:rsidR="003A58B0" w:rsidRPr="00C522A3">
        <w:rPr>
          <w:rFonts w:eastAsia="PMingLiU"/>
          <w:iCs/>
          <w:sz w:val="20"/>
        </w:rPr>
        <w:t xml:space="preserve">Leases and its associated interpretative guidance. IFRS 16 applies a control model to the identification of leases, distinguishing between a lease and a service </w:t>
      </w:r>
      <w:r w:rsidR="003A58B0" w:rsidRPr="004A5139">
        <w:rPr>
          <w:sz w:val="20"/>
        </w:rPr>
        <w:t>contract</w:t>
      </w:r>
      <w:r w:rsidR="003A58B0" w:rsidRPr="00C522A3">
        <w:rPr>
          <w:rFonts w:eastAsia="PMingLiU"/>
          <w:iCs/>
          <w:sz w:val="20"/>
        </w:rPr>
        <w:t xml:space="preserve"> on the basis of whether the customer controls the asset being leased. For those assets determined to meet the definition of a lease, IFRS 16 introduces significant changes to the accounting by lessees, introducing a single, on-balance sheet accounting model that is similar to current finance lease accounting, with limited exceptions for short-term leases or leases of low value assets. Lessor accounting remains similar to current accounting practice. The Company has</w:t>
      </w:r>
      <w:r w:rsidR="00BD4A90">
        <w:rPr>
          <w:rFonts w:eastAsia="PMingLiU"/>
          <w:iCs/>
          <w:sz w:val="20"/>
        </w:rPr>
        <w:t xml:space="preserve"> no leases and therefore the</w:t>
      </w:r>
      <w:r w:rsidR="003A58B0" w:rsidRPr="00C522A3">
        <w:rPr>
          <w:rFonts w:eastAsia="PMingLiU"/>
          <w:iCs/>
          <w:sz w:val="20"/>
        </w:rPr>
        <w:t xml:space="preserve"> adoption of IFRS 16 </w:t>
      </w:r>
      <w:r w:rsidR="00BD4A90">
        <w:rPr>
          <w:rFonts w:eastAsia="PMingLiU"/>
          <w:iCs/>
          <w:sz w:val="20"/>
        </w:rPr>
        <w:t>did not have</w:t>
      </w:r>
      <w:r w:rsidR="0059044F">
        <w:rPr>
          <w:rFonts w:eastAsia="PMingLiU"/>
          <w:iCs/>
          <w:sz w:val="20"/>
        </w:rPr>
        <w:t xml:space="preserve"> any</w:t>
      </w:r>
      <w:r w:rsidR="003A58B0" w:rsidRPr="00C522A3">
        <w:rPr>
          <w:rFonts w:eastAsia="PMingLiU"/>
          <w:iCs/>
          <w:sz w:val="20"/>
        </w:rPr>
        <w:t xml:space="preserve"> impact on the </w:t>
      </w:r>
      <w:r w:rsidR="0059044F">
        <w:rPr>
          <w:rFonts w:eastAsia="PMingLiU"/>
          <w:iCs/>
          <w:sz w:val="20"/>
        </w:rPr>
        <w:t xml:space="preserve">consolidated </w:t>
      </w:r>
      <w:r w:rsidR="003A58B0" w:rsidRPr="00C522A3">
        <w:rPr>
          <w:rFonts w:eastAsia="PMingLiU"/>
          <w:iCs/>
          <w:sz w:val="20"/>
        </w:rPr>
        <w:t>financial statements.</w:t>
      </w:r>
    </w:p>
    <w:bookmarkEnd w:id="4"/>
    <w:p w14:paraId="34CE02DF" w14:textId="63333603" w:rsidR="006C1800" w:rsidRPr="004A5139" w:rsidRDefault="00C57961" w:rsidP="004A5139">
      <w:pPr>
        <w:autoSpaceDE w:val="0"/>
        <w:autoSpaceDN w:val="0"/>
        <w:adjustRightInd w:val="0"/>
        <w:ind w:left="425" w:hanging="425"/>
        <w:jc w:val="both"/>
        <w:rPr>
          <w:b/>
          <w:spacing w:val="-2"/>
          <w:sz w:val="20"/>
        </w:rPr>
      </w:pPr>
      <w:r w:rsidRPr="004A5139">
        <w:rPr>
          <w:b/>
          <w:spacing w:val="-2"/>
          <w:sz w:val="20"/>
        </w:rPr>
        <w:t>4</w:t>
      </w:r>
      <w:r w:rsidR="005F0105" w:rsidRPr="004A5139">
        <w:rPr>
          <w:b/>
          <w:spacing w:val="-2"/>
          <w:sz w:val="20"/>
        </w:rPr>
        <w:t>.</w:t>
      </w:r>
      <w:r w:rsidR="005F0105" w:rsidRPr="004A5139">
        <w:rPr>
          <w:b/>
          <w:spacing w:val="-2"/>
          <w:sz w:val="20"/>
        </w:rPr>
        <w:tab/>
        <w:t>E</w:t>
      </w:r>
      <w:r w:rsidR="00205BBC" w:rsidRPr="004A5139">
        <w:rPr>
          <w:b/>
          <w:spacing w:val="-2"/>
          <w:sz w:val="20"/>
        </w:rPr>
        <w:t xml:space="preserve">xploration and evaluation </w:t>
      </w:r>
      <w:r w:rsidR="00745670" w:rsidRPr="004A5139">
        <w:rPr>
          <w:b/>
          <w:spacing w:val="-2"/>
          <w:sz w:val="20"/>
        </w:rPr>
        <w:t>assets</w:t>
      </w:r>
    </w:p>
    <w:p w14:paraId="5E50ECA4" w14:textId="055EFBD9" w:rsidR="008C7F52" w:rsidRPr="00C522A3" w:rsidRDefault="008C7F52" w:rsidP="008C7F52">
      <w:pPr>
        <w:autoSpaceDE w:val="0"/>
        <w:autoSpaceDN w:val="0"/>
        <w:adjustRightInd w:val="0"/>
        <w:ind w:left="425"/>
        <w:jc w:val="both"/>
        <w:rPr>
          <w:rFonts w:eastAsia="PMingLiU"/>
          <w:iCs/>
          <w:sz w:val="20"/>
        </w:rPr>
      </w:pPr>
    </w:p>
    <w:tbl>
      <w:tblPr>
        <w:tblW w:w="7650" w:type="dxa"/>
        <w:tblInd w:w="450" w:type="dxa"/>
        <w:tblLayout w:type="fixed"/>
        <w:tblLook w:val="04A0" w:firstRow="1" w:lastRow="0" w:firstColumn="1" w:lastColumn="0" w:noHBand="0" w:noVBand="1"/>
      </w:tblPr>
      <w:tblGrid>
        <w:gridCol w:w="2880"/>
        <w:gridCol w:w="1080"/>
        <w:gridCol w:w="1260"/>
        <w:gridCol w:w="1260"/>
        <w:gridCol w:w="1170"/>
      </w:tblGrid>
      <w:tr w:rsidR="00573978" w:rsidRPr="00FA6B7B" w14:paraId="5D7A822A" w14:textId="77777777" w:rsidTr="00573978">
        <w:trPr>
          <w:trHeight w:val="73"/>
        </w:trPr>
        <w:tc>
          <w:tcPr>
            <w:tcW w:w="2880" w:type="dxa"/>
            <w:tcBorders>
              <w:top w:val="double" w:sz="4" w:space="0" w:color="auto"/>
              <w:left w:val="nil"/>
              <w:bottom w:val="single" w:sz="4" w:space="0" w:color="auto"/>
              <w:right w:val="nil"/>
            </w:tcBorders>
            <w:shd w:val="clear" w:color="auto" w:fill="auto"/>
            <w:noWrap/>
            <w:vAlign w:val="bottom"/>
            <w:hideMark/>
          </w:tcPr>
          <w:p w14:paraId="6193424B" w14:textId="77777777" w:rsidR="00573978" w:rsidRPr="00FA6B7B" w:rsidRDefault="00573978" w:rsidP="0000272E">
            <w:pPr>
              <w:widowControl/>
              <w:rPr>
                <w:rFonts w:eastAsia="PMingLiU"/>
                <w:iCs/>
                <w:sz w:val="18"/>
                <w:szCs w:val="18"/>
              </w:rPr>
            </w:pPr>
            <w:r w:rsidRPr="00FA6B7B">
              <w:rPr>
                <w:rFonts w:eastAsia="PMingLiU"/>
                <w:iCs/>
                <w:sz w:val="18"/>
                <w:szCs w:val="18"/>
              </w:rPr>
              <w:t> </w:t>
            </w:r>
          </w:p>
        </w:tc>
        <w:tc>
          <w:tcPr>
            <w:tcW w:w="1080" w:type="dxa"/>
            <w:tcBorders>
              <w:top w:val="double" w:sz="4" w:space="0" w:color="auto"/>
              <w:left w:val="nil"/>
              <w:bottom w:val="single" w:sz="4" w:space="0" w:color="auto"/>
              <w:right w:val="nil"/>
            </w:tcBorders>
            <w:vAlign w:val="bottom"/>
          </w:tcPr>
          <w:p w14:paraId="6963149B" w14:textId="77777777" w:rsidR="00573978" w:rsidRPr="00FA6B7B" w:rsidRDefault="00573978" w:rsidP="0000272E">
            <w:pPr>
              <w:widowControl/>
              <w:jc w:val="right"/>
              <w:rPr>
                <w:rFonts w:eastAsia="PMingLiU"/>
                <w:b/>
                <w:iCs/>
                <w:sz w:val="18"/>
                <w:szCs w:val="18"/>
              </w:rPr>
            </w:pPr>
            <w:proofErr w:type="spellStart"/>
            <w:r w:rsidRPr="00FA6B7B">
              <w:rPr>
                <w:rFonts w:eastAsia="PMingLiU"/>
                <w:b/>
                <w:iCs/>
                <w:sz w:val="18"/>
                <w:szCs w:val="18"/>
              </w:rPr>
              <w:t>Meguma</w:t>
            </w:r>
            <w:proofErr w:type="spellEnd"/>
            <w:r w:rsidRPr="00FA6B7B">
              <w:rPr>
                <w:rFonts w:eastAsia="PMingLiU"/>
                <w:b/>
                <w:iCs/>
                <w:sz w:val="18"/>
                <w:szCs w:val="18"/>
              </w:rPr>
              <w:t xml:space="preserve"> Project</w:t>
            </w:r>
          </w:p>
          <w:p w14:paraId="191A6497" w14:textId="77777777" w:rsidR="00573978" w:rsidRPr="00FA6B7B" w:rsidRDefault="00573978" w:rsidP="0000272E">
            <w:pPr>
              <w:widowControl/>
              <w:jc w:val="right"/>
              <w:rPr>
                <w:rFonts w:eastAsia="PMingLiU"/>
                <w:b/>
                <w:iCs/>
                <w:sz w:val="18"/>
                <w:szCs w:val="18"/>
              </w:rPr>
            </w:pPr>
            <w:r w:rsidRPr="00FA6B7B">
              <w:rPr>
                <w:rFonts w:eastAsia="PMingLiU"/>
                <w:b/>
                <w:iCs/>
                <w:sz w:val="18"/>
                <w:szCs w:val="18"/>
              </w:rPr>
              <w:t xml:space="preserve"> $</w:t>
            </w:r>
          </w:p>
        </w:tc>
        <w:tc>
          <w:tcPr>
            <w:tcW w:w="1260" w:type="dxa"/>
            <w:tcBorders>
              <w:top w:val="double" w:sz="4" w:space="0" w:color="auto"/>
              <w:left w:val="nil"/>
              <w:bottom w:val="single" w:sz="4" w:space="0" w:color="auto"/>
              <w:right w:val="nil"/>
            </w:tcBorders>
            <w:vAlign w:val="bottom"/>
          </w:tcPr>
          <w:p w14:paraId="2E357166" w14:textId="77777777" w:rsidR="00573978" w:rsidRPr="00FA6B7B" w:rsidRDefault="00573978" w:rsidP="0000272E">
            <w:pPr>
              <w:widowControl/>
              <w:jc w:val="right"/>
              <w:rPr>
                <w:rFonts w:eastAsia="PMingLiU"/>
                <w:b/>
                <w:iCs/>
                <w:sz w:val="18"/>
                <w:szCs w:val="18"/>
              </w:rPr>
            </w:pPr>
            <w:r w:rsidRPr="00FA6B7B">
              <w:rPr>
                <w:rFonts w:eastAsia="PMingLiU"/>
                <w:b/>
                <w:iCs/>
                <w:sz w:val="18"/>
                <w:szCs w:val="18"/>
              </w:rPr>
              <w:t xml:space="preserve">Cariboo </w:t>
            </w:r>
          </w:p>
          <w:p w14:paraId="2491A603" w14:textId="34B8BCF2" w:rsidR="00573978" w:rsidRPr="00FA6B7B" w:rsidRDefault="00573978" w:rsidP="0000272E">
            <w:pPr>
              <w:widowControl/>
              <w:jc w:val="right"/>
              <w:rPr>
                <w:rFonts w:eastAsia="PMingLiU"/>
                <w:b/>
                <w:iCs/>
                <w:sz w:val="18"/>
                <w:szCs w:val="18"/>
              </w:rPr>
            </w:pPr>
            <w:r w:rsidRPr="00FA6B7B">
              <w:rPr>
                <w:rFonts w:eastAsia="PMingLiU"/>
                <w:b/>
                <w:iCs/>
                <w:sz w:val="18"/>
                <w:szCs w:val="18"/>
              </w:rPr>
              <w:t>Project</w:t>
            </w:r>
          </w:p>
          <w:p w14:paraId="029A7A90" w14:textId="77777777" w:rsidR="00573978" w:rsidRPr="00FA6B7B" w:rsidRDefault="00573978" w:rsidP="0000272E">
            <w:pPr>
              <w:widowControl/>
              <w:jc w:val="right"/>
              <w:rPr>
                <w:rFonts w:eastAsia="PMingLiU"/>
                <w:b/>
                <w:iCs/>
                <w:sz w:val="18"/>
                <w:szCs w:val="18"/>
              </w:rPr>
            </w:pPr>
            <w:r w:rsidRPr="00FA6B7B">
              <w:rPr>
                <w:rFonts w:eastAsia="PMingLiU"/>
                <w:b/>
                <w:iCs/>
                <w:sz w:val="18"/>
                <w:szCs w:val="18"/>
              </w:rPr>
              <w:t xml:space="preserve"> $</w:t>
            </w:r>
          </w:p>
        </w:tc>
        <w:tc>
          <w:tcPr>
            <w:tcW w:w="1260" w:type="dxa"/>
            <w:tcBorders>
              <w:top w:val="double" w:sz="4" w:space="0" w:color="auto"/>
              <w:left w:val="nil"/>
              <w:bottom w:val="single" w:sz="4" w:space="0" w:color="auto"/>
              <w:right w:val="nil"/>
            </w:tcBorders>
          </w:tcPr>
          <w:p w14:paraId="4A164640" w14:textId="77777777" w:rsidR="00573978" w:rsidRPr="00FA6B7B" w:rsidRDefault="00573978" w:rsidP="0000272E">
            <w:pPr>
              <w:widowControl/>
              <w:jc w:val="right"/>
              <w:rPr>
                <w:rFonts w:eastAsia="PMingLiU"/>
                <w:b/>
                <w:iCs/>
                <w:sz w:val="18"/>
                <w:szCs w:val="18"/>
              </w:rPr>
            </w:pPr>
            <w:r w:rsidRPr="00FA6B7B">
              <w:rPr>
                <w:rFonts w:eastAsia="PMingLiU"/>
                <w:b/>
                <w:iCs/>
                <w:sz w:val="18"/>
                <w:szCs w:val="18"/>
              </w:rPr>
              <w:t>Palladium Project</w:t>
            </w:r>
          </w:p>
          <w:p w14:paraId="2692DB81" w14:textId="5391D5A6" w:rsidR="00573978" w:rsidRPr="00FA6B7B" w:rsidRDefault="00573978" w:rsidP="0000272E">
            <w:pPr>
              <w:widowControl/>
              <w:jc w:val="right"/>
              <w:rPr>
                <w:rFonts w:eastAsia="PMingLiU"/>
                <w:b/>
                <w:iCs/>
                <w:sz w:val="18"/>
                <w:szCs w:val="18"/>
              </w:rPr>
            </w:pPr>
            <w:r w:rsidRPr="00FA6B7B">
              <w:rPr>
                <w:rFonts w:eastAsia="PMingLiU"/>
                <w:b/>
                <w:iCs/>
                <w:sz w:val="18"/>
                <w:szCs w:val="18"/>
              </w:rPr>
              <w:t>$</w:t>
            </w:r>
          </w:p>
        </w:tc>
        <w:tc>
          <w:tcPr>
            <w:tcW w:w="1170" w:type="dxa"/>
            <w:tcBorders>
              <w:top w:val="double" w:sz="4" w:space="0" w:color="auto"/>
              <w:left w:val="nil"/>
              <w:bottom w:val="single" w:sz="4" w:space="0" w:color="auto"/>
              <w:right w:val="nil"/>
            </w:tcBorders>
            <w:vAlign w:val="bottom"/>
          </w:tcPr>
          <w:p w14:paraId="71F934D3" w14:textId="77777777" w:rsidR="00573978" w:rsidRPr="00FA6B7B" w:rsidRDefault="00573978" w:rsidP="0000272E">
            <w:pPr>
              <w:widowControl/>
              <w:jc w:val="right"/>
              <w:rPr>
                <w:rFonts w:eastAsia="PMingLiU"/>
                <w:b/>
                <w:iCs/>
                <w:sz w:val="18"/>
                <w:szCs w:val="18"/>
              </w:rPr>
            </w:pPr>
            <w:r w:rsidRPr="00FA6B7B">
              <w:rPr>
                <w:rFonts w:eastAsia="PMingLiU"/>
                <w:b/>
                <w:iCs/>
                <w:sz w:val="18"/>
                <w:szCs w:val="18"/>
              </w:rPr>
              <w:t xml:space="preserve">Total </w:t>
            </w:r>
          </w:p>
          <w:p w14:paraId="006C8016" w14:textId="77777777" w:rsidR="00573978" w:rsidRPr="00FA6B7B" w:rsidRDefault="00573978" w:rsidP="0000272E">
            <w:pPr>
              <w:widowControl/>
              <w:jc w:val="right"/>
              <w:rPr>
                <w:rFonts w:eastAsia="PMingLiU"/>
                <w:b/>
                <w:iCs/>
                <w:sz w:val="18"/>
                <w:szCs w:val="18"/>
              </w:rPr>
            </w:pPr>
            <w:r w:rsidRPr="00FA6B7B">
              <w:rPr>
                <w:rFonts w:eastAsia="PMingLiU"/>
                <w:b/>
                <w:iCs/>
                <w:sz w:val="18"/>
                <w:szCs w:val="18"/>
              </w:rPr>
              <w:t>$</w:t>
            </w:r>
          </w:p>
        </w:tc>
      </w:tr>
      <w:tr w:rsidR="00573978" w:rsidRPr="00FA6B7B" w14:paraId="70E2E294" w14:textId="77777777" w:rsidTr="00573978">
        <w:trPr>
          <w:trHeight w:val="288"/>
        </w:trPr>
        <w:tc>
          <w:tcPr>
            <w:tcW w:w="2880" w:type="dxa"/>
            <w:tcBorders>
              <w:top w:val="single" w:sz="4" w:space="0" w:color="auto"/>
              <w:left w:val="nil"/>
              <w:right w:val="nil"/>
            </w:tcBorders>
            <w:shd w:val="clear" w:color="auto" w:fill="auto"/>
            <w:noWrap/>
            <w:vAlign w:val="bottom"/>
          </w:tcPr>
          <w:p w14:paraId="78E9E8C6" w14:textId="225A9C0D" w:rsidR="00573978" w:rsidRPr="00FA6B7B" w:rsidRDefault="00573978" w:rsidP="0052677E">
            <w:pPr>
              <w:widowControl/>
              <w:rPr>
                <w:rFonts w:eastAsia="PMingLiU"/>
                <w:b/>
                <w:iCs/>
                <w:sz w:val="18"/>
                <w:szCs w:val="18"/>
              </w:rPr>
            </w:pPr>
            <w:r w:rsidRPr="00FA6B7B">
              <w:rPr>
                <w:rFonts w:eastAsia="PMingLiU"/>
                <w:b/>
                <w:iCs/>
                <w:sz w:val="18"/>
                <w:szCs w:val="18"/>
              </w:rPr>
              <w:t>Balance, March 31, 2019</w:t>
            </w:r>
          </w:p>
        </w:tc>
        <w:tc>
          <w:tcPr>
            <w:tcW w:w="1080" w:type="dxa"/>
            <w:tcBorders>
              <w:top w:val="single" w:sz="4" w:space="0" w:color="auto"/>
              <w:left w:val="nil"/>
              <w:right w:val="nil"/>
            </w:tcBorders>
            <w:vAlign w:val="bottom"/>
          </w:tcPr>
          <w:p w14:paraId="4093DE07" w14:textId="092150B4" w:rsidR="00573978" w:rsidRPr="00FA6B7B" w:rsidRDefault="00573978" w:rsidP="006133C9">
            <w:pPr>
              <w:widowControl/>
              <w:jc w:val="right"/>
              <w:rPr>
                <w:rFonts w:eastAsia="PMingLiU"/>
                <w:b/>
                <w:iCs/>
                <w:sz w:val="18"/>
                <w:szCs w:val="18"/>
              </w:rPr>
            </w:pPr>
            <w:r w:rsidRPr="00FA6B7B">
              <w:rPr>
                <w:rFonts w:eastAsia="PMingLiU"/>
                <w:b/>
                <w:iCs/>
                <w:sz w:val="18"/>
                <w:szCs w:val="18"/>
              </w:rPr>
              <w:t>7,725,374</w:t>
            </w:r>
          </w:p>
        </w:tc>
        <w:tc>
          <w:tcPr>
            <w:tcW w:w="1260" w:type="dxa"/>
            <w:tcBorders>
              <w:top w:val="single" w:sz="4" w:space="0" w:color="auto"/>
              <w:left w:val="nil"/>
              <w:right w:val="nil"/>
            </w:tcBorders>
            <w:vAlign w:val="bottom"/>
          </w:tcPr>
          <w:p w14:paraId="03B9942E" w14:textId="5E21C2C9" w:rsidR="00573978" w:rsidRPr="00FA6B7B" w:rsidRDefault="00573978" w:rsidP="006133C9">
            <w:pPr>
              <w:widowControl/>
              <w:jc w:val="right"/>
              <w:rPr>
                <w:rFonts w:eastAsia="PMingLiU"/>
                <w:b/>
                <w:iCs/>
                <w:sz w:val="18"/>
                <w:szCs w:val="18"/>
              </w:rPr>
            </w:pPr>
            <w:r w:rsidRPr="00FA6B7B">
              <w:rPr>
                <w:rFonts w:eastAsia="PMingLiU"/>
                <w:b/>
                <w:iCs/>
                <w:sz w:val="18"/>
                <w:szCs w:val="18"/>
              </w:rPr>
              <w:t>4,400,000</w:t>
            </w:r>
          </w:p>
        </w:tc>
        <w:tc>
          <w:tcPr>
            <w:tcW w:w="1260" w:type="dxa"/>
            <w:tcBorders>
              <w:top w:val="single" w:sz="4" w:space="0" w:color="auto"/>
              <w:left w:val="nil"/>
              <w:right w:val="nil"/>
            </w:tcBorders>
            <w:vAlign w:val="bottom"/>
          </w:tcPr>
          <w:p w14:paraId="7A47F2A1" w14:textId="018876FC" w:rsidR="00573978" w:rsidRPr="00FA6B7B" w:rsidRDefault="00573978" w:rsidP="006133C9">
            <w:pPr>
              <w:widowControl/>
              <w:jc w:val="right"/>
              <w:rPr>
                <w:rFonts w:eastAsia="PMingLiU"/>
                <w:b/>
                <w:iCs/>
                <w:sz w:val="18"/>
                <w:szCs w:val="18"/>
              </w:rPr>
            </w:pPr>
            <w:r w:rsidRPr="00FA6B7B">
              <w:rPr>
                <w:rFonts w:eastAsia="PMingLiU"/>
                <w:b/>
                <w:iCs/>
                <w:sz w:val="18"/>
                <w:szCs w:val="18"/>
              </w:rPr>
              <w:t>-</w:t>
            </w:r>
          </w:p>
        </w:tc>
        <w:tc>
          <w:tcPr>
            <w:tcW w:w="1170" w:type="dxa"/>
            <w:tcBorders>
              <w:top w:val="single" w:sz="4" w:space="0" w:color="auto"/>
              <w:left w:val="nil"/>
              <w:right w:val="nil"/>
            </w:tcBorders>
            <w:shd w:val="clear" w:color="auto" w:fill="auto"/>
            <w:vAlign w:val="bottom"/>
          </w:tcPr>
          <w:p w14:paraId="02401E9B" w14:textId="1FEA1BF5" w:rsidR="00573978" w:rsidRPr="00FA6B7B" w:rsidRDefault="00573978" w:rsidP="006133C9">
            <w:pPr>
              <w:widowControl/>
              <w:jc w:val="right"/>
              <w:rPr>
                <w:rFonts w:eastAsia="PMingLiU"/>
                <w:b/>
                <w:iCs/>
                <w:sz w:val="18"/>
                <w:szCs w:val="18"/>
              </w:rPr>
            </w:pPr>
            <w:r w:rsidRPr="00FA6B7B">
              <w:rPr>
                <w:rFonts w:eastAsia="PMingLiU"/>
                <w:b/>
                <w:iCs/>
                <w:sz w:val="18"/>
                <w:szCs w:val="18"/>
              </w:rPr>
              <w:t>12,125,374</w:t>
            </w:r>
          </w:p>
        </w:tc>
      </w:tr>
      <w:tr w:rsidR="00573978" w:rsidRPr="00FA6B7B" w14:paraId="1FD2BD41" w14:textId="77777777" w:rsidTr="00573978">
        <w:trPr>
          <w:trHeight w:val="288"/>
        </w:trPr>
        <w:tc>
          <w:tcPr>
            <w:tcW w:w="2880" w:type="dxa"/>
            <w:tcBorders>
              <w:left w:val="nil"/>
              <w:right w:val="nil"/>
            </w:tcBorders>
            <w:shd w:val="clear" w:color="auto" w:fill="auto"/>
            <w:noWrap/>
            <w:vAlign w:val="bottom"/>
          </w:tcPr>
          <w:p w14:paraId="4B1B4E27" w14:textId="77777777" w:rsidR="00573978" w:rsidRPr="00FA6B7B" w:rsidRDefault="00573978" w:rsidP="0052677E">
            <w:pPr>
              <w:widowControl/>
              <w:rPr>
                <w:rFonts w:eastAsia="PMingLiU"/>
                <w:iCs/>
                <w:sz w:val="18"/>
                <w:szCs w:val="18"/>
              </w:rPr>
            </w:pPr>
            <w:r w:rsidRPr="00FA6B7B">
              <w:rPr>
                <w:rFonts w:eastAsia="PMingLiU"/>
                <w:iCs/>
                <w:sz w:val="18"/>
                <w:szCs w:val="18"/>
              </w:rPr>
              <w:t>Acquisition costs</w:t>
            </w:r>
          </w:p>
        </w:tc>
        <w:tc>
          <w:tcPr>
            <w:tcW w:w="1080" w:type="dxa"/>
            <w:tcBorders>
              <w:left w:val="nil"/>
              <w:right w:val="nil"/>
            </w:tcBorders>
            <w:shd w:val="clear" w:color="auto" w:fill="auto"/>
            <w:vAlign w:val="bottom"/>
          </w:tcPr>
          <w:p w14:paraId="71920335" w14:textId="068BEC74" w:rsidR="00573978" w:rsidRPr="00FA6B7B" w:rsidRDefault="00573978" w:rsidP="006133C9">
            <w:pPr>
              <w:widowControl/>
              <w:jc w:val="right"/>
              <w:rPr>
                <w:rFonts w:eastAsia="PMingLiU"/>
                <w:iCs/>
                <w:sz w:val="18"/>
                <w:szCs w:val="18"/>
              </w:rPr>
            </w:pPr>
            <w:r w:rsidRPr="00FA6B7B">
              <w:rPr>
                <w:rFonts w:eastAsia="PMingLiU"/>
                <w:iCs/>
                <w:sz w:val="18"/>
                <w:szCs w:val="18"/>
              </w:rPr>
              <w:t>155,054</w:t>
            </w:r>
          </w:p>
        </w:tc>
        <w:tc>
          <w:tcPr>
            <w:tcW w:w="1260" w:type="dxa"/>
            <w:tcBorders>
              <w:left w:val="nil"/>
              <w:right w:val="nil"/>
            </w:tcBorders>
            <w:shd w:val="clear" w:color="auto" w:fill="auto"/>
            <w:vAlign w:val="bottom"/>
          </w:tcPr>
          <w:p w14:paraId="09920EAE" w14:textId="26259A7D" w:rsidR="00573978" w:rsidRPr="00FA6B7B" w:rsidRDefault="00573978" w:rsidP="006133C9">
            <w:pPr>
              <w:widowControl/>
              <w:jc w:val="right"/>
              <w:rPr>
                <w:rFonts w:eastAsia="PMingLiU"/>
                <w:iCs/>
                <w:sz w:val="18"/>
                <w:szCs w:val="18"/>
              </w:rPr>
            </w:pPr>
            <w:r w:rsidRPr="00FA6B7B">
              <w:rPr>
                <w:rFonts w:eastAsia="PMingLiU"/>
                <w:iCs/>
                <w:sz w:val="18"/>
                <w:szCs w:val="18"/>
              </w:rPr>
              <w:t>-</w:t>
            </w:r>
          </w:p>
        </w:tc>
        <w:tc>
          <w:tcPr>
            <w:tcW w:w="1260" w:type="dxa"/>
            <w:tcBorders>
              <w:left w:val="nil"/>
              <w:right w:val="nil"/>
            </w:tcBorders>
            <w:vAlign w:val="bottom"/>
          </w:tcPr>
          <w:p w14:paraId="27CA62A4" w14:textId="0C0B3643" w:rsidR="00573978" w:rsidRPr="00FA6B7B" w:rsidRDefault="00573978" w:rsidP="006133C9">
            <w:pPr>
              <w:widowControl/>
              <w:jc w:val="right"/>
              <w:rPr>
                <w:rFonts w:eastAsia="PMingLiU"/>
                <w:iCs/>
                <w:sz w:val="18"/>
                <w:szCs w:val="18"/>
              </w:rPr>
            </w:pPr>
            <w:r w:rsidRPr="00FA6B7B">
              <w:rPr>
                <w:rFonts w:eastAsia="PMingLiU"/>
                <w:iCs/>
                <w:sz w:val="18"/>
                <w:szCs w:val="18"/>
              </w:rPr>
              <w:t>965,000</w:t>
            </w:r>
          </w:p>
        </w:tc>
        <w:tc>
          <w:tcPr>
            <w:tcW w:w="1170" w:type="dxa"/>
            <w:tcBorders>
              <w:left w:val="nil"/>
              <w:right w:val="nil"/>
            </w:tcBorders>
            <w:shd w:val="clear" w:color="auto" w:fill="auto"/>
            <w:vAlign w:val="bottom"/>
          </w:tcPr>
          <w:p w14:paraId="7F5CA27E" w14:textId="787E11F7" w:rsidR="00573978" w:rsidRPr="00FA6B7B" w:rsidRDefault="00573978" w:rsidP="006133C9">
            <w:pPr>
              <w:widowControl/>
              <w:jc w:val="right"/>
              <w:rPr>
                <w:rFonts w:eastAsia="PMingLiU"/>
                <w:iCs/>
                <w:sz w:val="18"/>
                <w:szCs w:val="18"/>
              </w:rPr>
            </w:pPr>
            <w:r w:rsidRPr="00FA6B7B">
              <w:rPr>
                <w:rFonts w:eastAsia="PMingLiU"/>
                <w:iCs/>
                <w:sz w:val="18"/>
                <w:szCs w:val="18"/>
              </w:rPr>
              <w:t>1,120,054</w:t>
            </w:r>
          </w:p>
        </w:tc>
      </w:tr>
      <w:tr w:rsidR="00573978" w:rsidRPr="00FA6B7B" w14:paraId="662F745D" w14:textId="77777777" w:rsidTr="00573978">
        <w:trPr>
          <w:trHeight w:val="288"/>
        </w:trPr>
        <w:tc>
          <w:tcPr>
            <w:tcW w:w="2880" w:type="dxa"/>
            <w:tcBorders>
              <w:left w:val="nil"/>
              <w:right w:val="nil"/>
            </w:tcBorders>
            <w:shd w:val="clear" w:color="auto" w:fill="auto"/>
            <w:noWrap/>
            <w:vAlign w:val="bottom"/>
          </w:tcPr>
          <w:p w14:paraId="5EBA1678" w14:textId="3F5A239D" w:rsidR="00573978" w:rsidRPr="00FA6B7B" w:rsidRDefault="00573978" w:rsidP="0052677E">
            <w:pPr>
              <w:widowControl/>
              <w:rPr>
                <w:rFonts w:eastAsia="PMingLiU"/>
                <w:iCs/>
                <w:sz w:val="18"/>
                <w:szCs w:val="18"/>
              </w:rPr>
            </w:pPr>
            <w:r w:rsidRPr="00FA6B7B">
              <w:rPr>
                <w:rFonts w:eastAsia="PMingLiU"/>
                <w:iCs/>
                <w:sz w:val="18"/>
                <w:szCs w:val="18"/>
              </w:rPr>
              <w:t>Exploration expenditures (note 5)</w:t>
            </w:r>
          </w:p>
        </w:tc>
        <w:tc>
          <w:tcPr>
            <w:tcW w:w="1080" w:type="dxa"/>
            <w:tcBorders>
              <w:left w:val="nil"/>
              <w:right w:val="nil"/>
            </w:tcBorders>
            <w:shd w:val="clear" w:color="auto" w:fill="auto"/>
            <w:vAlign w:val="bottom"/>
          </w:tcPr>
          <w:p w14:paraId="39C5E744" w14:textId="76D49051" w:rsidR="00573978" w:rsidRPr="00FA6B7B" w:rsidRDefault="00573978" w:rsidP="006133C9">
            <w:pPr>
              <w:widowControl/>
              <w:jc w:val="right"/>
              <w:rPr>
                <w:rFonts w:eastAsia="PMingLiU"/>
                <w:iCs/>
                <w:sz w:val="18"/>
                <w:szCs w:val="18"/>
              </w:rPr>
            </w:pPr>
            <w:r w:rsidRPr="00FA6B7B">
              <w:rPr>
                <w:rFonts w:eastAsia="PMingLiU"/>
                <w:iCs/>
                <w:sz w:val="18"/>
                <w:szCs w:val="18"/>
              </w:rPr>
              <w:t>1,338,981</w:t>
            </w:r>
          </w:p>
        </w:tc>
        <w:tc>
          <w:tcPr>
            <w:tcW w:w="1260" w:type="dxa"/>
            <w:tcBorders>
              <w:left w:val="nil"/>
              <w:right w:val="nil"/>
            </w:tcBorders>
            <w:shd w:val="clear" w:color="auto" w:fill="auto"/>
            <w:vAlign w:val="bottom"/>
          </w:tcPr>
          <w:p w14:paraId="7845F64A" w14:textId="77777777" w:rsidR="00573978" w:rsidRPr="00FA6B7B" w:rsidRDefault="00573978" w:rsidP="006133C9">
            <w:pPr>
              <w:widowControl/>
              <w:jc w:val="right"/>
              <w:rPr>
                <w:rFonts w:eastAsia="PMingLiU"/>
                <w:iCs/>
                <w:sz w:val="18"/>
                <w:szCs w:val="18"/>
              </w:rPr>
            </w:pPr>
            <w:r w:rsidRPr="00FA6B7B">
              <w:rPr>
                <w:rFonts w:eastAsia="PMingLiU"/>
                <w:iCs/>
                <w:sz w:val="18"/>
                <w:szCs w:val="18"/>
              </w:rPr>
              <w:t>-</w:t>
            </w:r>
          </w:p>
        </w:tc>
        <w:tc>
          <w:tcPr>
            <w:tcW w:w="1260" w:type="dxa"/>
            <w:tcBorders>
              <w:left w:val="nil"/>
              <w:right w:val="nil"/>
            </w:tcBorders>
            <w:vAlign w:val="bottom"/>
          </w:tcPr>
          <w:p w14:paraId="4775BB79" w14:textId="252D6F73" w:rsidR="00573978" w:rsidRPr="00FA6B7B" w:rsidRDefault="00573978" w:rsidP="006133C9">
            <w:pPr>
              <w:widowControl/>
              <w:jc w:val="right"/>
              <w:rPr>
                <w:rFonts w:eastAsia="PMingLiU"/>
                <w:iCs/>
                <w:sz w:val="18"/>
                <w:szCs w:val="18"/>
              </w:rPr>
            </w:pPr>
            <w:r w:rsidRPr="00FA6B7B">
              <w:rPr>
                <w:rFonts w:eastAsia="PMingLiU"/>
                <w:iCs/>
                <w:sz w:val="18"/>
                <w:szCs w:val="18"/>
              </w:rPr>
              <w:t>-</w:t>
            </w:r>
          </w:p>
        </w:tc>
        <w:tc>
          <w:tcPr>
            <w:tcW w:w="1170" w:type="dxa"/>
            <w:tcBorders>
              <w:left w:val="nil"/>
              <w:right w:val="nil"/>
            </w:tcBorders>
            <w:shd w:val="clear" w:color="auto" w:fill="auto"/>
            <w:vAlign w:val="bottom"/>
          </w:tcPr>
          <w:p w14:paraId="19EAF7C1" w14:textId="02D287D5" w:rsidR="00573978" w:rsidRPr="00FA6B7B" w:rsidRDefault="00573978" w:rsidP="006133C9">
            <w:pPr>
              <w:widowControl/>
              <w:jc w:val="right"/>
              <w:rPr>
                <w:rFonts w:eastAsia="PMingLiU"/>
                <w:iCs/>
                <w:sz w:val="18"/>
                <w:szCs w:val="18"/>
              </w:rPr>
            </w:pPr>
            <w:r w:rsidRPr="00FA6B7B">
              <w:rPr>
                <w:rFonts w:eastAsia="PMingLiU"/>
                <w:iCs/>
                <w:sz w:val="18"/>
                <w:szCs w:val="18"/>
              </w:rPr>
              <w:t>1,338,981</w:t>
            </w:r>
            <w:r w:rsidRPr="00FA6B7B" w:rsidDel="00CA789A">
              <w:rPr>
                <w:rFonts w:eastAsia="PMingLiU"/>
                <w:iCs/>
                <w:sz w:val="18"/>
                <w:szCs w:val="18"/>
              </w:rPr>
              <w:t xml:space="preserve"> </w:t>
            </w:r>
          </w:p>
        </w:tc>
      </w:tr>
      <w:tr w:rsidR="00573978" w:rsidRPr="00FA6B7B" w14:paraId="25A1726F" w14:textId="77777777" w:rsidTr="00573978">
        <w:trPr>
          <w:trHeight w:val="288"/>
        </w:trPr>
        <w:tc>
          <w:tcPr>
            <w:tcW w:w="2880" w:type="dxa"/>
            <w:tcBorders>
              <w:left w:val="nil"/>
              <w:bottom w:val="single" w:sz="4" w:space="0" w:color="auto"/>
              <w:right w:val="nil"/>
            </w:tcBorders>
            <w:shd w:val="clear" w:color="auto" w:fill="auto"/>
            <w:noWrap/>
            <w:vAlign w:val="bottom"/>
          </w:tcPr>
          <w:p w14:paraId="1DD606F7" w14:textId="3B4F051E" w:rsidR="00573978" w:rsidRPr="00FA6B7B" w:rsidRDefault="00573978" w:rsidP="0052677E">
            <w:pPr>
              <w:widowControl/>
              <w:rPr>
                <w:rFonts w:eastAsia="PMingLiU"/>
                <w:iCs/>
                <w:sz w:val="18"/>
                <w:szCs w:val="18"/>
              </w:rPr>
            </w:pPr>
            <w:r w:rsidRPr="00FA6B7B">
              <w:rPr>
                <w:rFonts w:eastAsia="PMingLiU"/>
                <w:iCs/>
                <w:sz w:val="18"/>
                <w:szCs w:val="18"/>
              </w:rPr>
              <w:t>Impairment</w:t>
            </w:r>
          </w:p>
        </w:tc>
        <w:tc>
          <w:tcPr>
            <w:tcW w:w="1080" w:type="dxa"/>
            <w:tcBorders>
              <w:left w:val="nil"/>
              <w:bottom w:val="single" w:sz="4" w:space="0" w:color="auto"/>
              <w:right w:val="nil"/>
            </w:tcBorders>
            <w:shd w:val="clear" w:color="auto" w:fill="auto"/>
            <w:vAlign w:val="bottom"/>
          </w:tcPr>
          <w:p w14:paraId="36D60666" w14:textId="17842CAA" w:rsidR="00573978" w:rsidRPr="00FA6B7B" w:rsidDel="0027691F" w:rsidRDefault="00573978" w:rsidP="006133C9">
            <w:pPr>
              <w:widowControl/>
              <w:jc w:val="right"/>
              <w:rPr>
                <w:rFonts w:eastAsia="PMingLiU"/>
                <w:iCs/>
                <w:sz w:val="18"/>
                <w:szCs w:val="18"/>
              </w:rPr>
            </w:pPr>
            <w:r w:rsidRPr="00FA6B7B">
              <w:rPr>
                <w:rFonts w:eastAsia="PMingLiU"/>
                <w:iCs/>
                <w:sz w:val="18"/>
                <w:szCs w:val="18"/>
              </w:rPr>
              <w:t>(110,990)</w:t>
            </w:r>
          </w:p>
        </w:tc>
        <w:tc>
          <w:tcPr>
            <w:tcW w:w="1260" w:type="dxa"/>
            <w:tcBorders>
              <w:left w:val="nil"/>
              <w:bottom w:val="single" w:sz="4" w:space="0" w:color="auto"/>
              <w:right w:val="nil"/>
            </w:tcBorders>
            <w:shd w:val="clear" w:color="auto" w:fill="auto"/>
            <w:vAlign w:val="bottom"/>
          </w:tcPr>
          <w:p w14:paraId="4BC05AA2" w14:textId="38CC9837" w:rsidR="00573978" w:rsidRPr="00FA6B7B" w:rsidRDefault="00573978" w:rsidP="006133C9">
            <w:pPr>
              <w:widowControl/>
              <w:jc w:val="right"/>
              <w:rPr>
                <w:rFonts w:eastAsia="PMingLiU"/>
                <w:iCs/>
                <w:sz w:val="18"/>
                <w:szCs w:val="18"/>
              </w:rPr>
            </w:pPr>
            <w:r w:rsidRPr="00FA6B7B">
              <w:rPr>
                <w:rFonts w:eastAsia="PMingLiU"/>
                <w:iCs/>
                <w:sz w:val="18"/>
                <w:szCs w:val="18"/>
              </w:rPr>
              <w:t>-</w:t>
            </w:r>
          </w:p>
        </w:tc>
        <w:tc>
          <w:tcPr>
            <w:tcW w:w="1260" w:type="dxa"/>
            <w:tcBorders>
              <w:left w:val="nil"/>
              <w:bottom w:val="single" w:sz="4" w:space="0" w:color="auto"/>
              <w:right w:val="nil"/>
            </w:tcBorders>
            <w:vAlign w:val="bottom"/>
          </w:tcPr>
          <w:p w14:paraId="18EE5424" w14:textId="5B1950B7" w:rsidR="00573978" w:rsidRPr="00FA6B7B" w:rsidRDefault="00573978" w:rsidP="006133C9">
            <w:pPr>
              <w:widowControl/>
              <w:jc w:val="right"/>
              <w:rPr>
                <w:rFonts w:eastAsia="PMingLiU"/>
                <w:iCs/>
                <w:sz w:val="18"/>
                <w:szCs w:val="18"/>
              </w:rPr>
            </w:pPr>
            <w:r w:rsidRPr="00FA6B7B">
              <w:rPr>
                <w:rFonts w:eastAsia="PMingLiU"/>
                <w:iCs/>
                <w:sz w:val="18"/>
                <w:szCs w:val="18"/>
              </w:rPr>
              <w:t>-</w:t>
            </w:r>
          </w:p>
        </w:tc>
        <w:tc>
          <w:tcPr>
            <w:tcW w:w="1170" w:type="dxa"/>
            <w:tcBorders>
              <w:left w:val="nil"/>
              <w:bottom w:val="single" w:sz="4" w:space="0" w:color="auto"/>
              <w:right w:val="nil"/>
            </w:tcBorders>
            <w:shd w:val="clear" w:color="auto" w:fill="auto"/>
            <w:vAlign w:val="bottom"/>
          </w:tcPr>
          <w:p w14:paraId="1F29E777" w14:textId="44B23A04" w:rsidR="00573978" w:rsidRPr="00FA6B7B" w:rsidRDefault="00573978" w:rsidP="006133C9">
            <w:pPr>
              <w:widowControl/>
              <w:jc w:val="right"/>
              <w:rPr>
                <w:rFonts w:eastAsia="PMingLiU"/>
                <w:iCs/>
                <w:sz w:val="18"/>
                <w:szCs w:val="18"/>
              </w:rPr>
            </w:pPr>
            <w:r w:rsidRPr="00FA6B7B">
              <w:rPr>
                <w:rFonts w:eastAsia="PMingLiU"/>
                <w:iCs/>
                <w:sz w:val="18"/>
                <w:szCs w:val="18"/>
              </w:rPr>
              <w:t>(110,990)</w:t>
            </w:r>
          </w:p>
        </w:tc>
      </w:tr>
      <w:tr w:rsidR="00573978" w:rsidRPr="00FA6B7B" w14:paraId="320F5EB4" w14:textId="77777777" w:rsidTr="00573978">
        <w:trPr>
          <w:trHeight w:val="288"/>
        </w:trPr>
        <w:tc>
          <w:tcPr>
            <w:tcW w:w="2880" w:type="dxa"/>
            <w:tcBorders>
              <w:top w:val="single" w:sz="4" w:space="0" w:color="auto"/>
              <w:left w:val="nil"/>
              <w:bottom w:val="single" w:sz="4" w:space="0" w:color="auto"/>
              <w:right w:val="nil"/>
            </w:tcBorders>
            <w:shd w:val="clear" w:color="auto" w:fill="auto"/>
            <w:noWrap/>
            <w:vAlign w:val="bottom"/>
          </w:tcPr>
          <w:p w14:paraId="458FF80A" w14:textId="61B19F37" w:rsidR="00573978" w:rsidRPr="00FA6B7B" w:rsidRDefault="00573978" w:rsidP="0052677E">
            <w:pPr>
              <w:widowControl/>
              <w:rPr>
                <w:rFonts w:eastAsia="PMingLiU"/>
                <w:b/>
                <w:iCs/>
                <w:sz w:val="18"/>
                <w:szCs w:val="18"/>
              </w:rPr>
            </w:pPr>
            <w:r w:rsidRPr="00FA6B7B">
              <w:rPr>
                <w:rFonts w:eastAsia="PMingLiU"/>
                <w:b/>
                <w:iCs/>
                <w:sz w:val="18"/>
                <w:szCs w:val="18"/>
              </w:rPr>
              <w:t>Balance, March 31, 2020</w:t>
            </w:r>
          </w:p>
        </w:tc>
        <w:tc>
          <w:tcPr>
            <w:tcW w:w="1080" w:type="dxa"/>
            <w:tcBorders>
              <w:top w:val="single" w:sz="4" w:space="0" w:color="auto"/>
              <w:left w:val="nil"/>
              <w:bottom w:val="single" w:sz="4" w:space="0" w:color="auto"/>
              <w:right w:val="nil"/>
            </w:tcBorders>
            <w:shd w:val="clear" w:color="auto" w:fill="auto"/>
            <w:vAlign w:val="bottom"/>
          </w:tcPr>
          <w:p w14:paraId="3F2B72D2" w14:textId="3B88E07E" w:rsidR="00573978" w:rsidRPr="00FA6B7B" w:rsidRDefault="00573978" w:rsidP="006133C9">
            <w:pPr>
              <w:widowControl/>
              <w:jc w:val="right"/>
              <w:rPr>
                <w:rFonts w:eastAsia="PMingLiU"/>
                <w:b/>
                <w:iCs/>
                <w:sz w:val="18"/>
                <w:szCs w:val="18"/>
              </w:rPr>
            </w:pPr>
            <w:r w:rsidRPr="00FA6B7B">
              <w:rPr>
                <w:rFonts w:eastAsia="PMingLiU"/>
                <w:b/>
                <w:iCs/>
                <w:sz w:val="18"/>
                <w:szCs w:val="18"/>
              </w:rPr>
              <w:t>9,108,419</w:t>
            </w:r>
          </w:p>
        </w:tc>
        <w:tc>
          <w:tcPr>
            <w:tcW w:w="1260" w:type="dxa"/>
            <w:tcBorders>
              <w:top w:val="single" w:sz="4" w:space="0" w:color="auto"/>
              <w:left w:val="nil"/>
              <w:bottom w:val="single" w:sz="4" w:space="0" w:color="auto"/>
              <w:right w:val="nil"/>
            </w:tcBorders>
            <w:shd w:val="clear" w:color="auto" w:fill="auto"/>
            <w:vAlign w:val="bottom"/>
          </w:tcPr>
          <w:p w14:paraId="00E0BE4E" w14:textId="77777777" w:rsidR="00573978" w:rsidRPr="00FA6B7B" w:rsidRDefault="00573978" w:rsidP="006133C9">
            <w:pPr>
              <w:widowControl/>
              <w:jc w:val="right"/>
              <w:rPr>
                <w:rFonts w:eastAsia="PMingLiU"/>
                <w:b/>
                <w:iCs/>
                <w:sz w:val="18"/>
                <w:szCs w:val="18"/>
              </w:rPr>
            </w:pPr>
            <w:r w:rsidRPr="00FA6B7B">
              <w:rPr>
                <w:rFonts w:eastAsia="PMingLiU"/>
                <w:b/>
                <w:iCs/>
                <w:sz w:val="18"/>
                <w:szCs w:val="18"/>
              </w:rPr>
              <w:t>4,400,000</w:t>
            </w:r>
          </w:p>
        </w:tc>
        <w:tc>
          <w:tcPr>
            <w:tcW w:w="1260" w:type="dxa"/>
            <w:tcBorders>
              <w:top w:val="single" w:sz="4" w:space="0" w:color="auto"/>
              <w:left w:val="nil"/>
              <w:bottom w:val="single" w:sz="4" w:space="0" w:color="auto"/>
              <w:right w:val="nil"/>
            </w:tcBorders>
            <w:vAlign w:val="bottom"/>
          </w:tcPr>
          <w:p w14:paraId="52E76B14" w14:textId="28948C6B" w:rsidR="00573978" w:rsidRPr="00FA6B7B" w:rsidRDefault="00573978" w:rsidP="006133C9">
            <w:pPr>
              <w:widowControl/>
              <w:jc w:val="right"/>
              <w:rPr>
                <w:rFonts w:eastAsia="PMingLiU"/>
                <w:b/>
                <w:iCs/>
                <w:sz w:val="18"/>
                <w:szCs w:val="18"/>
              </w:rPr>
            </w:pPr>
            <w:r w:rsidRPr="00FA6B7B">
              <w:rPr>
                <w:rFonts w:eastAsia="PMingLiU"/>
                <w:b/>
                <w:iCs/>
                <w:sz w:val="18"/>
                <w:szCs w:val="18"/>
              </w:rPr>
              <w:t>965,000</w:t>
            </w:r>
          </w:p>
        </w:tc>
        <w:tc>
          <w:tcPr>
            <w:tcW w:w="1170" w:type="dxa"/>
            <w:tcBorders>
              <w:top w:val="single" w:sz="4" w:space="0" w:color="auto"/>
              <w:left w:val="nil"/>
              <w:bottom w:val="single" w:sz="4" w:space="0" w:color="auto"/>
              <w:right w:val="nil"/>
            </w:tcBorders>
            <w:shd w:val="clear" w:color="auto" w:fill="auto"/>
            <w:vAlign w:val="bottom"/>
          </w:tcPr>
          <w:p w14:paraId="6862D196" w14:textId="110DF1B5" w:rsidR="00573978" w:rsidRPr="00FA6B7B" w:rsidRDefault="00573978" w:rsidP="006133C9">
            <w:pPr>
              <w:widowControl/>
              <w:jc w:val="right"/>
              <w:rPr>
                <w:rFonts w:eastAsia="PMingLiU"/>
                <w:b/>
                <w:iCs/>
                <w:sz w:val="18"/>
                <w:szCs w:val="18"/>
              </w:rPr>
            </w:pPr>
            <w:r w:rsidRPr="00FA6B7B">
              <w:rPr>
                <w:rFonts w:eastAsia="PMingLiU"/>
                <w:b/>
                <w:iCs/>
                <w:sz w:val="18"/>
                <w:szCs w:val="18"/>
              </w:rPr>
              <w:t>14,473,419</w:t>
            </w:r>
          </w:p>
        </w:tc>
      </w:tr>
      <w:tr w:rsidR="00573978" w:rsidRPr="00FA6B7B" w14:paraId="10E6BB01" w14:textId="77777777" w:rsidTr="00573978">
        <w:trPr>
          <w:trHeight w:val="288"/>
        </w:trPr>
        <w:tc>
          <w:tcPr>
            <w:tcW w:w="2880" w:type="dxa"/>
            <w:tcBorders>
              <w:left w:val="nil"/>
              <w:right w:val="nil"/>
            </w:tcBorders>
            <w:shd w:val="clear" w:color="auto" w:fill="auto"/>
            <w:noWrap/>
            <w:vAlign w:val="bottom"/>
          </w:tcPr>
          <w:p w14:paraId="453F4402" w14:textId="77777777" w:rsidR="00573978" w:rsidRPr="00FA6B7B" w:rsidRDefault="00573978" w:rsidP="00140712">
            <w:pPr>
              <w:widowControl/>
              <w:rPr>
                <w:rFonts w:eastAsia="PMingLiU"/>
                <w:iCs/>
                <w:sz w:val="18"/>
                <w:szCs w:val="18"/>
              </w:rPr>
            </w:pPr>
            <w:r w:rsidRPr="00FA6B7B">
              <w:rPr>
                <w:rFonts w:eastAsia="PMingLiU"/>
                <w:iCs/>
                <w:sz w:val="18"/>
                <w:szCs w:val="18"/>
              </w:rPr>
              <w:t>Acquisition costs</w:t>
            </w:r>
          </w:p>
        </w:tc>
        <w:tc>
          <w:tcPr>
            <w:tcW w:w="1080" w:type="dxa"/>
            <w:tcBorders>
              <w:left w:val="nil"/>
              <w:right w:val="nil"/>
            </w:tcBorders>
            <w:shd w:val="clear" w:color="auto" w:fill="auto"/>
            <w:vAlign w:val="bottom"/>
          </w:tcPr>
          <w:p w14:paraId="2720D1F3" w14:textId="24DA57DE" w:rsidR="00573978" w:rsidRPr="00FA6B7B" w:rsidRDefault="00573978" w:rsidP="00140712">
            <w:pPr>
              <w:widowControl/>
              <w:jc w:val="right"/>
              <w:rPr>
                <w:rFonts w:eastAsia="PMingLiU"/>
                <w:iCs/>
                <w:sz w:val="18"/>
                <w:szCs w:val="18"/>
              </w:rPr>
            </w:pPr>
            <w:r>
              <w:rPr>
                <w:rFonts w:eastAsia="PMingLiU"/>
                <w:iCs/>
                <w:sz w:val="18"/>
                <w:szCs w:val="18"/>
              </w:rPr>
              <w:t>20,000</w:t>
            </w:r>
          </w:p>
        </w:tc>
        <w:tc>
          <w:tcPr>
            <w:tcW w:w="1260" w:type="dxa"/>
            <w:tcBorders>
              <w:left w:val="nil"/>
              <w:right w:val="nil"/>
            </w:tcBorders>
            <w:shd w:val="clear" w:color="auto" w:fill="auto"/>
            <w:vAlign w:val="bottom"/>
          </w:tcPr>
          <w:p w14:paraId="31232D39" w14:textId="77777777" w:rsidR="00573978" w:rsidRPr="00FA6B7B" w:rsidRDefault="00573978" w:rsidP="00140712">
            <w:pPr>
              <w:widowControl/>
              <w:jc w:val="right"/>
              <w:rPr>
                <w:rFonts w:eastAsia="PMingLiU"/>
                <w:iCs/>
                <w:sz w:val="18"/>
                <w:szCs w:val="18"/>
              </w:rPr>
            </w:pPr>
            <w:r w:rsidRPr="00FA6B7B">
              <w:rPr>
                <w:rFonts w:eastAsia="PMingLiU"/>
                <w:iCs/>
                <w:sz w:val="18"/>
                <w:szCs w:val="18"/>
              </w:rPr>
              <w:t>-</w:t>
            </w:r>
          </w:p>
        </w:tc>
        <w:tc>
          <w:tcPr>
            <w:tcW w:w="1260" w:type="dxa"/>
            <w:tcBorders>
              <w:left w:val="nil"/>
              <w:right w:val="nil"/>
            </w:tcBorders>
            <w:vAlign w:val="bottom"/>
          </w:tcPr>
          <w:p w14:paraId="2D8AA44C" w14:textId="0122E713" w:rsidR="00573978" w:rsidRPr="00FA6B7B" w:rsidRDefault="00573978" w:rsidP="00140712">
            <w:pPr>
              <w:widowControl/>
              <w:jc w:val="right"/>
              <w:rPr>
                <w:rFonts w:eastAsia="PMingLiU"/>
                <w:iCs/>
                <w:sz w:val="18"/>
                <w:szCs w:val="18"/>
              </w:rPr>
            </w:pPr>
            <w:r>
              <w:rPr>
                <w:rFonts w:eastAsia="PMingLiU"/>
                <w:iCs/>
                <w:sz w:val="18"/>
                <w:szCs w:val="18"/>
              </w:rPr>
              <w:t>-</w:t>
            </w:r>
          </w:p>
        </w:tc>
        <w:tc>
          <w:tcPr>
            <w:tcW w:w="1170" w:type="dxa"/>
            <w:tcBorders>
              <w:left w:val="nil"/>
              <w:right w:val="nil"/>
            </w:tcBorders>
            <w:shd w:val="clear" w:color="auto" w:fill="auto"/>
            <w:vAlign w:val="bottom"/>
          </w:tcPr>
          <w:p w14:paraId="027656A5" w14:textId="4EAB237D" w:rsidR="00573978" w:rsidRPr="00FA6B7B" w:rsidRDefault="00573978" w:rsidP="00140712">
            <w:pPr>
              <w:widowControl/>
              <w:jc w:val="right"/>
              <w:rPr>
                <w:rFonts w:eastAsia="PMingLiU"/>
                <w:iCs/>
                <w:sz w:val="18"/>
                <w:szCs w:val="18"/>
              </w:rPr>
            </w:pPr>
            <w:r>
              <w:rPr>
                <w:rFonts w:eastAsia="PMingLiU"/>
                <w:iCs/>
                <w:sz w:val="18"/>
                <w:szCs w:val="18"/>
              </w:rPr>
              <w:t>20,000</w:t>
            </w:r>
          </w:p>
        </w:tc>
      </w:tr>
      <w:tr w:rsidR="00573978" w:rsidRPr="00FA6B7B" w14:paraId="16ED4EAC" w14:textId="77777777" w:rsidTr="00573978">
        <w:trPr>
          <w:trHeight w:val="288"/>
        </w:trPr>
        <w:tc>
          <w:tcPr>
            <w:tcW w:w="2880" w:type="dxa"/>
            <w:tcBorders>
              <w:left w:val="nil"/>
              <w:right w:val="nil"/>
            </w:tcBorders>
            <w:shd w:val="clear" w:color="auto" w:fill="auto"/>
            <w:noWrap/>
            <w:vAlign w:val="bottom"/>
          </w:tcPr>
          <w:p w14:paraId="7EA0DEA4" w14:textId="77777777" w:rsidR="00573978" w:rsidRPr="00FA6B7B" w:rsidRDefault="00573978" w:rsidP="00140712">
            <w:pPr>
              <w:widowControl/>
              <w:rPr>
                <w:rFonts w:eastAsia="PMingLiU"/>
                <w:iCs/>
                <w:sz w:val="18"/>
                <w:szCs w:val="18"/>
              </w:rPr>
            </w:pPr>
            <w:r w:rsidRPr="00FA6B7B">
              <w:rPr>
                <w:rFonts w:eastAsia="PMingLiU"/>
                <w:iCs/>
                <w:sz w:val="18"/>
                <w:szCs w:val="18"/>
              </w:rPr>
              <w:t>Exploration expenditures (note 5)</w:t>
            </w:r>
          </w:p>
        </w:tc>
        <w:tc>
          <w:tcPr>
            <w:tcW w:w="1080" w:type="dxa"/>
            <w:tcBorders>
              <w:left w:val="nil"/>
              <w:right w:val="nil"/>
            </w:tcBorders>
            <w:shd w:val="clear" w:color="auto" w:fill="auto"/>
            <w:vAlign w:val="bottom"/>
          </w:tcPr>
          <w:p w14:paraId="7C8A4325" w14:textId="6406B330" w:rsidR="00573978" w:rsidRPr="00FA6B7B" w:rsidRDefault="00573978" w:rsidP="00140712">
            <w:pPr>
              <w:widowControl/>
              <w:jc w:val="right"/>
              <w:rPr>
                <w:rFonts w:eastAsia="PMingLiU"/>
                <w:iCs/>
                <w:sz w:val="18"/>
                <w:szCs w:val="18"/>
              </w:rPr>
            </w:pPr>
            <w:r>
              <w:rPr>
                <w:rFonts w:eastAsia="PMingLiU"/>
                <w:iCs/>
                <w:sz w:val="18"/>
                <w:szCs w:val="18"/>
              </w:rPr>
              <w:t>79,438</w:t>
            </w:r>
          </w:p>
        </w:tc>
        <w:tc>
          <w:tcPr>
            <w:tcW w:w="1260" w:type="dxa"/>
            <w:tcBorders>
              <w:left w:val="nil"/>
              <w:right w:val="nil"/>
            </w:tcBorders>
            <w:shd w:val="clear" w:color="auto" w:fill="auto"/>
            <w:vAlign w:val="bottom"/>
          </w:tcPr>
          <w:p w14:paraId="5F3ECF29" w14:textId="77777777" w:rsidR="00573978" w:rsidRPr="00FA6B7B" w:rsidRDefault="00573978" w:rsidP="00140712">
            <w:pPr>
              <w:widowControl/>
              <w:jc w:val="right"/>
              <w:rPr>
                <w:rFonts w:eastAsia="PMingLiU"/>
                <w:iCs/>
                <w:sz w:val="18"/>
                <w:szCs w:val="18"/>
              </w:rPr>
            </w:pPr>
            <w:r w:rsidRPr="00FA6B7B">
              <w:rPr>
                <w:rFonts w:eastAsia="PMingLiU"/>
                <w:iCs/>
                <w:sz w:val="18"/>
                <w:szCs w:val="18"/>
              </w:rPr>
              <w:t>-</w:t>
            </w:r>
          </w:p>
        </w:tc>
        <w:tc>
          <w:tcPr>
            <w:tcW w:w="1260" w:type="dxa"/>
            <w:tcBorders>
              <w:left w:val="nil"/>
              <w:right w:val="nil"/>
            </w:tcBorders>
            <w:vAlign w:val="bottom"/>
          </w:tcPr>
          <w:p w14:paraId="079E4751" w14:textId="77777777" w:rsidR="00573978" w:rsidRPr="00FA6B7B" w:rsidRDefault="00573978" w:rsidP="00140712">
            <w:pPr>
              <w:widowControl/>
              <w:jc w:val="right"/>
              <w:rPr>
                <w:rFonts w:eastAsia="PMingLiU"/>
                <w:iCs/>
                <w:sz w:val="18"/>
                <w:szCs w:val="18"/>
              </w:rPr>
            </w:pPr>
            <w:r w:rsidRPr="00FA6B7B">
              <w:rPr>
                <w:rFonts w:eastAsia="PMingLiU"/>
                <w:iCs/>
                <w:sz w:val="18"/>
                <w:szCs w:val="18"/>
              </w:rPr>
              <w:t>-</w:t>
            </w:r>
          </w:p>
        </w:tc>
        <w:tc>
          <w:tcPr>
            <w:tcW w:w="1170" w:type="dxa"/>
            <w:tcBorders>
              <w:left w:val="nil"/>
              <w:right w:val="nil"/>
            </w:tcBorders>
            <w:shd w:val="clear" w:color="auto" w:fill="auto"/>
            <w:vAlign w:val="bottom"/>
          </w:tcPr>
          <w:p w14:paraId="723C85FE" w14:textId="67F5A5BE" w:rsidR="00573978" w:rsidRPr="00FA6B7B" w:rsidRDefault="00573978" w:rsidP="00140712">
            <w:pPr>
              <w:widowControl/>
              <w:jc w:val="right"/>
              <w:rPr>
                <w:rFonts w:eastAsia="PMingLiU"/>
                <w:iCs/>
                <w:sz w:val="18"/>
                <w:szCs w:val="18"/>
              </w:rPr>
            </w:pPr>
            <w:r>
              <w:rPr>
                <w:rFonts w:eastAsia="PMingLiU"/>
                <w:iCs/>
                <w:sz w:val="18"/>
                <w:szCs w:val="18"/>
              </w:rPr>
              <w:t>79,438</w:t>
            </w:r>
          </w:p>
        </w:tc>
      </w:tr>
      <w:tr w:rsidR="00573978" w:rsidRPr="00FA6B7B" w14:paraId="7536A157" w14:textId="77777777" w:rsidTr="00573978">
        <w:trPr>
          <w:trHeight w:val="288"/>
        </w:trPr>
        <w:tc>
          <w:tcPr>
            <w:tcW w:w="2880" w:type="dxa"/>
            <w:tcBorders>
              <w:top w:val="single" w:sz="4" w:space="0" w:color="auto"/>
              <w:left w:val="nil"/>
              <w:bottom w:val="double" w:sz="4" w:space="0" w:color="auto"/>
              <w:right w:val="nil"/>
            </w:tcBorders>
            <w:shd w:val="clear" w:color="auto" w:fill="auto"/>
            <w:noWrap/>
            <w:vAlign w:val="bottom"/>
          </w:tcPr>
          <w:p w14:paraId="69E8B2F8" w14:textId="53C927E8" w:rsidR="00573978" w:rsidRPr="00FA6B7B" w:rsidRDefault="00573978" w:rsidP="00140712">
            <w:pPr>
              <w:widowControl/>
              <w:rPr>
                <w:rFonts w:eastAsia="PMingLiU"/>
                <w:b/>
                <w:iCs/>
                <w:sz w:val="18"/>
                <w:szCs w:val="18"/>
              </w:rPr>
            </w:pPr>
            <w:r w:rsidRPr="00FA6B7B">
              <w:rPr>
                <w:rFonts w:eastAsia="PMingLiU"/>
                <w:b/>
                <w:iCs/>
                <w:sz w:val="18"/>
                <w:szCs w:val="18"/>
              </w:rPr>
              <w:t xml:space="preserve">Balance, </w:t>
            </w:r>
            <w:r>
              <w:rPr>
                <w:rFonts w:eastAsia="PMingLiU"/>
                <w:b/>
                <w:iCs/>
                <w:sz w:val="18"/>
                <w:szCs w:val="18"/>
              </w:rPr>
              <w:t>June 30</w:t>
            </w:r>
            <w:r w:rsidRPr="00FA6B7B">
              <w:rPr>
                <w:rFonts w:eastAsia="PMingLiU"/>
                <w:b/>
                <w:iCs/>
                <w:sz w:val="18"/>
                <w:szCs w:val="18"/>
              </w:rPr>
              <w:t>, 2020</w:t>
            </w:r>
          </w:p>
        </w:tc>
        <w:tc>
          <w:tcPr>
            <w:tcW w:w="1080" w:type="dxa"/>
            <w:tcBorders>
              <w:top w:val="single" w:sz="4" w:space="0" w:color="auto"/>
              <w:left w:val="nil"/>
              <w:bottom w:val="double" w:sz="4" w:space="0" w:color="auto"/>
              <w:right w:val="nil"/>
            </w:tcBorders>
            <w:shd w:val="clear" w:color="auto" w:fill="auto"/>
            <w:vAlign w:val="bottom"/>
          </w:tcPr>
          <w:p w14:paraId="1F26C1CB" w14:textId="5DBE5434" w:rsidR="00573978" w:rsidRPr="00FA6B7B" w:rsidRDefault="00573978" w:rsidP="00140712">
            <w:pPr>
              <w:widowControl/>
              <w:jc w:val="right"/>
              <w:rPr>
                <w:rFonts w:eastAsia="PMingLiU"/>
                <w:b/>
                <w:iCs/>
                <w:sz w:val="18"/>
                <w:szCs w:val="18"/>
              </w:rPr>
            </w:pPr>
            <w:r w:rsidRPr="00FA6B7B">
              <w:rPr>
                <w:rFonts w:eastAsia="PMingLiU"/>
                <w:b/>
                <w:iCs/>
                <w:sz w:val="18"/>
                <w:szCs w:val="18"/>
              </w:rPr>
              <w:t>9,</w:t>
            </w:r>
            <w:r>
              <w:rPr>
                <w:rFonts w:eastAsia="PMingLiU"/>
                <w:b/>
                <w:iCs/>
                <w:sz w:val="18"/>
                <w:szCs w:val="18"/>
              </w:rPr>
              <w:t>207</w:t>
            </w:r>
            <w:r w:rsidRPr="00FA6B7B">
              <w:rPr>
                <w:rFonts w:eastAsia="PMingLiU"/>
                <w:b/>
                <w:iCs/>
                <w:sz w:val="18"/>
                <w:szCs w:val="18"/>
              </w:rPr>
              <w:t>,</w:t>
            </w:r>
            <w:r>
              <w:rPr>
                <w:rFonts w:eastAsia="PMingLiU"/>
                <w:b/>
                <w:iCs/>
                <w:sz w:val="18"/>
                <w:szCs w:val="18"/>
              </w:rPr>
              <w:t>857</w:t>
            </w:r>
          </w:p>
        </w:tc>
        <w:tc>
          <w:tcPr>
            <w:tcW w:w="1260" w:type="dxa"/>
            <w:tcBorders>
              <w:top w:val="single" w:sz="4" w:space="0" w:color="auto"/>
              <w:left w:val="nil"/>
              <w:bottom w:val="double" w:sz="4" w:space="0" w:color="auto"/>
              <w:right w:val="nil"/>
            </w:tcBorders>
            <w:shd w:val="clear" w:color="auto" w:fill="auto"/>
            <w:vAlign w:val="bottom"/>
          </w:tcPr>
          <w:p w14:paraId="2CE5393A" w14:textId="77777777" w:rsidR="00573978" w:rsidRPr="00FA6B7B" w:rsidRDefault="00573978" w:rsidP="00140712">
            <w:pPr>
              <w:widowControl/>
              <w:jc w:val="right"/>
              <w:rPr>
                <w:rFonts w:eastAsia="PMingLiU"/>
                <w:b/>
                <w:iCs/>
                <w:sz w:val="18"/>
                <w:szCs w:val="18"/>
              </w:rPr>
            </w:pPr>
            <w:r w:rsidRPr="00FA6B7B">
              <w:rPr>
                <w:rFonts w:eastAsia="PMingLiU"/>
                <w:b/>
                <w:iCs/>
                <w:sz w:val="18"/>
                <w:szCs w:val="18"/>
              </w:rPr>
              <w:t>4,400,000</w:t>
            </w:r>
          </w:p>
        </w:tc>
        <w:tc>
          <w:tcPr>
            <w:tcW w:w="1260" w:type="dxa"/>
            <w:tcBorders>
              <w:top w:val="single" w:sz="4" w:space="0" w:color="auto"/>
              <w:left w:val="nil"/>
              <w:bottom w:val="double" w:sz="4" w:space="0" w:color="auto"/>
              <w:right w:val="nil"/>
            </w:tcBorders>
            <w:vAlign w:val="bottom"/>
          </w:tcPr>
          <w:p w14:paraId="70D12D8D" w14:textId="77777777" w:rsidR="00573978" w:rsidRPr="00FA6B7B" w:rsidRDefault="00573978" w:rsidP="00140712">
            <w:pPr>
              <w:widowControl/>
              <w:jc w:val="right"/>
              <w:rPr>
                <w:rFonts w:eastAsia="PMingLiU"/>
                <w:b/>
                <w:iCs/>
                <w:sz w:val="18"/>
                <w:szCs w:val="18"/>
              </w:rPr>
            </w:pPr>
            <w:r w:rsidRPr="00FA6B7B">
              <w:rPr>
                <w:rFonts w:eastAsia="PMingLiU"/>
                <w:b/>
                <w:iCs/>
                <w:sz w:val="18"/>
                <w:szCs w:val="18"/>
              </w:rPr>
              <w:t>965,000</w:t>
            </w:r>
          </w:p>
        </w:tc>
        <w:tc>
          <w:tcPr>
            <w:tcW w:w="1170" w:type="dxa"/>
            <w:tcBorders>
              <w:top w:val="single" w:sz="4" w:space="0" w:color="auto"/>
              <w:left w:val="nil"/>
              <w:bottom w:val="double" w:sz="4" w:space="0" w:color="auto"/>
              <w:right w:val="nil"/>
            </w:tcBorders>
            <w:shd w:val="clear" w:color="auto" w:fill="auto"/>
            <w:vAlign w:val="bottom"/>
          </w:tcPr>
          <w:p w14:paraId="18C268AE" w14:textId="465F44ED" w:rsidR="00573978" w:rsidRPr="00FA6B7B" w:rsidRDefault="00573978" w:rsidP="00140712">
            <w:pPr>
              <w:widowControl/>
              <w:jc w:val="right"/>
              <w:rPr>
                <w:rFonts w:eastAsia="PMingLiU"/>
                <w:b/>
                <w:iCs/>
                <w:sz w:val="18"/>
                <w:szCs w:val="18"/>
              </w:rPr>
            </w:pPr>
            <w:r w:rsidRPr="00FA6B7B">
              <w:rPr>
                <w:rFonts w:eastAsia="PMingLiU"/>
                <w:b/>
                <w:iCs/>
                <w:sz w:val="18"/>
                <w:szCs w:val="18"/>
              </w:rPr>
              <w:t>14,</w:t>
            </w:r>
            <w:r>
              <w:rPr>
                <w:rFonts w:eastAsia="PMingLiU"/>
                <w:b/>
                <w:iCs/>
                <w:sz w:val="18"/>
                <w:szCs w:val="18"/>
              </w:rPr>
              <w:t>572,857</w:t>
            </w:r>
          </w:p>
        </w:tc>
      </w:tr>
    </w:tbl>
    <w:p w14:paraId="2A47BEC1" w14:textId="55EAFAF1" w:rsidR="00C568C1" w:rsidRPr="0052677E" w:rsidRDefault="00C568C1" w:rsidP="0052677E">
      <w:pPr>
        <w:widowControl/>
        <w:tabs>
          <w:tab w:val="left" w:pos="900"/>
        </w:tabs>
        <w:suppressAutoHyphens/>
        <w:overflowPunct w:val="0"/>
        <w:autoSpaceDE w:val="0"/>
        <w:autoSpaceDN w:val="0"/>
        <w:adjustRightInd w:val="0"/>
        <w:spacing w:before="120" w:after="120"/>
        <w:ind w:left="450"/>
        <w:jc w:val="both"/>
        <w:textAlignment w:val="baseline"/>
        <w:rPr>
          <w:b/>
          <w:spacing w:val="-3"/>
          <w:sz w:val="20"/>
        </w:rPr>
      </w:pPr>
      <w:proofErr w:type="spellStart"/>
      <w:r w:rsidRPr="0052677E">
        <w:rPr>
          <w:b/>
          <w:spacing w:val="-3"/>
          <w:sz w:val="20"/>
        </w:rPr>
        <w:t>Meguma</w:t>
      </w:r>
      <w:proofErr w:type="spellEnd"/>
      <w:r w:rsidRPr="0052677E">
        <w:rPr>
          <w:b/>
          <w:spacing w:val="-3"/>
          <w:sz w:val="20"/>
        </w:rPr>
        <w:t xml:space="preserve"> </w:t>
      </w:r>
      <w:r w:rsidR="004F337E" w:rsidRPr="0052677E">
        <w:rPr>
          <w:b/>
          <w:spacing w:val="-3"/>
          <w:sz w:val="20"/>
        </w:rPr>
        <w:t>Project</w:t>
      </w:r>
    </w:p>
    <w:p w14:paraId="1954B619" w14:textId="2257420B" w:rsidR="0000272E" w:rsidRPr="0052677E" w:rsidRDefault="0000272E" w:rsidP="0052677E">
      <w:pPr>
        <w:spacing w:after="120"/>
        <w:ind w:left="432"/>
        <w:jc w:val="both"/>
        <w:rPr>
          <w:sz w:val="20"/>
        </w:rPr>
      </w:pPr>
      <w:r w:rsidRPr="0052677E">
        <w:rPr>
          <w:sz w:val="20"/>
        </w:rPr>
        <w:t>On May 30, 2018, the Company closed the acquisition of 1156222 B.C. Ltd. (“115”) by way of a three-corner amalgamation</w:t>
      </w:r>
      <w:r w:rsidR="00F0093A" w:rsidRPr="0052677E">
        <w:rPr>
          <w:sz w:val="20"/>
        </w:rPr>
        <w:t xml:space="preserve"> with 1156219 B.C. Ltd, a wholly owned subsidiary of the Company</w:t>
      </w:r>
      <w:r w:rsidRPr="0052677E">
        <w:rPr>
          <w:sz w:val="20"/>
        </w:rPr>
        <w:t>. Under the terms of the definitive acquisition agreement (the “115 Agreement”), the Company acquired 100% of 115 and assumed all of its assets and underlying agreements, including mineral claims in Nova Scotia. The Company issued 15.5 million shares at a fair value of $3,875,000 to the shareholders of 115 to satisfy the terms of the 115 Agreement</w:t>
      </w:r>
      <w:r w:rsidR="008951FF" w:rsidRPr="0052677E">
        <w:rPr>
          <w:sz w:val="20"/>
        </w:rPr>
        <w:t xml:space="preserve"> (Note </w:t>
      </w:r>
      <w:r w:rsidR="003D657F">
        <w:rPr>
          <w:sz w:val="20"/>
        </w:rPr>
        <w:t>7</w:t>
      </w:r>
      <w:r w:rsidR="008951FF" w:rsidRPr="0052677E">
        <w:rPr>
          <w:sz w:val="20"/>
        </w:rPr>
        <w:t>)</w:t>
      </w:r>
      <w:r w:rsidRPr="0052677E">
        <w:rPr>
          <w:sz w:val="20"/>
        </w:rPr>
        <w:t>. The Company also issued 1.24 million shares</w:t>
      </w:r>
      <w:r w:rsidR="00E33C38" w:rsidRPr="0052677E">
        <w:rPr>
          <w:sz w:val="20"/>
        </w:rPr>
        <w:t xml:space="preserve"> in finder’s shares</w:t>
      </w:r>
      <w:r w:rsidRPr="0052677E">
        <w:rPr>
          <w:sz w:val="20"/>
        </w:rPr>
        <w:t xml:space="preserve"> at a fair value of $310,000</w:t>
      </w:r>
      <w:r w:rsidR="000931D3" w:rsidRPr="0052677E">
        <w:rPr>
          <w:sz w:val="20"/>
        </w:rPr>
        <w:t>.</w:t>
      </w:r>
      <w:r w:rsidRPr="0052677E">
        <w:rPr>
          <w:sz w:val="20"/>
        </w:rPr>
        <w:t xml:space="preserve"> </w:t>
      </w:r>
      <w:r w:rsidR="006C7959" w:rsidRPr="0052677E">
        <w:rPr>
          <w:sz w:val="20"/>
        </w:rPr>
        <w:t>The Company paid $5,766 in legal fees in connection with the acquisition</w:t>
      </w:r>
      <w:r w:rsidR="00900A33" w:rsidRPr="0052677E">
        <w:rPr>
          <w:sz w:val="20"/>
        </w:rPr>
        <w:t xml:space="preserve"> and agreed to pay $200,000 as a finder</w:t>
      </w:r>
      <w:r w:rsidR="00950996" w:rsidRPr="0052677E">
        <w:rPr>
          <w:sz w:val="20"/>
        </w:rPr>
        <w:t>’</w:t>
      </w:r>
      <w:r w:rsidR="00900A33" w:rsidRPr="0052677E">
        <w:rPr>
          <w:sz w:val="20"/>
        </w:rPr>
        <w:t>s fee</w:t>
      </w:r>
      <w:r w:rsidR="006C7959" w:rsidRPr="0052677E">
        <w:rPr>
          <w:sz w:val="20"/>
        </w:rPr>
        <w:t>, which have been capitalized as acquisition costs.</w:t>
      </w:r>
      <w:r w:rsidR="00BB0655" w:rsidRPr="0052677E">
        <w:rPr>
          <w:sz w:val="20"/>
        </w:rPr>
        <w:t xml:space="preserve"> </w:t>
      </w:r>
    </w:p>
    <w:p w14:paraId="188F73A2" w14:textId="2B0AD2FD" w:rsidR="0066174C" w:rsidRPr="0052677E" w:rsidRDefault="000921AD" w:rsidP="0052677E">
      <w:pPr>
        <w:spacing w:after="120"/>
        <w:ind w:left="432"/>
        <w:jc w:val="both"/>
        <w:rPr>
          <w:sz w:val="20"/>
        </w:rPr>
      </w:pPr>
      <w:r w:rsidRPr="0052677E">
        <w:rPr>
          <w:sz w:val="20"/>
        </w:rPr>
        <w:t xml:space="preserve">During the </w:t>
      </w:r>
      <w:r w:rsidR="00991857">
        <w:rPr>
          <w:sz w:val="20"/>
        </w:rPr>
        <w:t>three-month</w:t>
      </w:r>
      <w:r w:rsidR="0037103A">
        <w:rPr>
          <w:sz w:val="20"/>
        </w:rPr>
        <w:t xml:space="preserve"> period ended June 30, 2020 and </w:t>
      </w:r>
      <w:r w:rsidR="000931D3" w:rsidRPr="0052677E">
        <w:rPr>
          <w:sz w:val="20"/>
        </w:rPr>
        <w:t>year</w:t>
      </w:r>
      <w:r w:rsidR="00FA6B7B">
        <w:rPr>
          <w:sz w:val="20"/>
        </w:rPr>
        <w:t>s</w:t>
      </w:r>
      <w:r w:rsidR="000931D3" w:rsidRPr="0052677E">
        <w:rPr>
          <w:sz w:val="20"/>
        </w:rPr>
        <w:t xml:space="preserve"> </w:t>
      </w:r>
      <w:r w:rsidR="000931D3" w:rsidRPr="00FA6B7B">
        <w:rPr>
          <w:sz w:val="20"/>
        </w:rPr>
        <w:t xml:space="preserve">ended </w:t>
      </w:r>
      <w:r w:rsidR="0037103A">
        <w:rPr>
          <w:sz w:val="20"/>
        </w:rPr>
        <w:t>March 31</w:t>
      </w:r>
      <w:r w:rsidR="000931D3" w:rsidRPr="00FA6B7B">
        <w:rPr>
          <w:sz w:val="20"/>
        </w:rPr>
        <w:t>, 20</w:t>
      </w:r>
      <w:r w:rsidR="003A58B0" w:rsidRPr="00FA6B7B">
        <w:rPr>
          <w:sz w:val="20"/>
        </w:rPr>
        <w:t>20</w:t>
      </w:r>
      <w:r w:rsidR="00FA6B7B" w:rsidRPr="00FA6B7B">
        <w:rPr>
          <w:sz w:val="20"/>
        </w:rPr>
        <w:t xml:space="preserve"> and 2019</w:t>
      </w:r>
      <w:r w:rsidRPr="00FA6B7B">
        <w:rPr>
          <w:sz w:val="20"/>
        </w:rPr>
        <w:t xml:space="preserve">, the Company acquired additional mineral </w:t>
      </w:r>
      <w:r w:rsidR="0066174C" w:rsidRPr="00FA6B7B">
        <w:rPr>
          <w:sz w:val="20"/>
        </w:rPr>
        <w:t>licenses and options</w:t>
      </w:r>
      <w:r w:rsidRPr="00FA6B7B">
        <w:rPr>
          <w:sz w:val="20"/>
        </w:rPr>
        <w:t xml:space="preserve"> </w:t>
      </w:r>
      <w:r w:rsidR="0066174C" w:rsidRPr="00FA6B7B">
        <w:rPr>
          <w:sz w:val="20"/>
        </w:rPr>
        <w:t xml:space="preserve">for the </w:t>
      </w:r>
      <w:proofErr w:type="spellStart"/>
      <w:r w:rsidR="0066174C" w:rsidRPr="00FA6B7B">
        <w:rPr>
          <w:sz w:val="20"/>
        </w:rPr>
        <w:t>Meguma</w:t>
      </w:r>
      <w:proofErr w:type="spellEnd"/>
      <w:r w:rsidR="0066174C" w:rsidRPr="00FA6B7B">
        <w:rPr>
          <w:sz w:val="20"/>
        </w:rPr>
        <w:t xml:space="preserve"> project:</w:t>
      </w:r>
    </w:p>
    <w:p w14:paraId="7401101B" w14:textId="77777777" w:rsidR="000921AD" w:rsidRPr="0052677E" w:rsidRDefault="0066174C" w:rsidP="0052677E">
      <w:pPr>
        <w:widowControl/>
        <w:tabs>
          <w:tab w:val="left" w:pos="900"/>
        </w:tabs>
        <w:suppressAutoHyphens/>
        <w:overflowPunct w:val="0"/>
        <w:autoSpaceDE w:val="0"/>
        <w:autoSpaceDN w:val="0"/>
        <w:adjustRightInd w:val="0"/>
        <w:spacing w:after="120"/>
        <w:ind w:left="450"/>
        <w:jc w:val="both"/>
        <w:textAlignment w:val="baseline"/>
        <w:rPr>
          <w:b/>
          <w:spacing w:val="-3"/>
          <w:sz w:val="20"/>
        </w:rPr>
      </w:pPr>
      <w:r w:rsidRPr="0052677E">
        <w:rPr>
          <w:b/>
          <w:spacing w:val="-3"/>
          <w:sz w:val="20"/>
        </w:rPr>
        <w:t>Acquisition of Additional Mineral Licenses:</w:t>
      </w:r>
    </w:p>
    <w:p w14:paraId="6B143985" w14:textId="43E74A3A" w:rsidR="00095BF8" w:rsidRPr="0052677E" w:rsidRDefault="00C87BE3" w:rsidP="0052677E">
      <w:pPr>
        <w:spacing w:after="120"/>
        <w:ind w:left="432"/>
        <w:jc w:val="both"/>
        <w:rPr>
          <w:sz w:val="20"/>
        </w:rPr>
      </w:pPr>
      <w:r w:rsidRPr="0052677E">
        <w:rPr>
          <w:sz w:val="20"/>
        </w:rPr>
        <w:t xml:space="preserve">On July 12, 2018, the Company </w:t>
      </w:r>
      <w:r w:rsidR="00095BF8" w:rsidRPr="0052677E">
        <w:rPr>
          <w:sz w:val="20"/>
        </w:rPr>
        <w:t xml:space="preserve">purchased 100% interest </w:t>
      </w:r>
      <w:r w:rsidR="00E33C38" w:rsidRPr="0052677E">
        <w:rPr>
          <w:sz w:val="20"/>
        </w:rPr>
        <w:t>in</w:t>
      </w:r>
      <w:r w:rsidR="00095BF8" w:rsidRPr="0052677E">
        <w:rPr>
          <w:sz w:val="20"/>
        </w:rPr>
        <w:t xml:space="preserve"> mineral licenses </w:t>
      </w:r>
      <w:r w:rsidR="00E33C38" w:rsidRPr="0052677E">
        <w:rPr>
          <w:sz w:val="20"/>
        </w:rPr>
        <w:t xml:space="preserve">by </w:t>
      </w:r>
      <w:r w:rsidR="00095BF8" w:rsidRPr="0052677E">
        <w:rPr>
          <w:sz w:val="20"/>
        </w:rPr>
        <w:t>way of a purchase and sale agreement (“</w:t>
      </w:r>
      <w:proofErr w:type="spellStart"/>
      <w:r w:rsidR="00095BF8" w:rsidRPr="0052677E">
        <w:rPr>
          <w:sz w:val="20"/>
        </w:rPr>
        <w:t>Goldboro</w:t>
      </w:r>
      <w:proofErr w:type="spellEnd"/>
      <w:r w:rsidR="00095BF8" w:rsidRPr="0052677E">
        <w:rPr>
          <w:sz w:val="20"/>
        </w:rPr>
        <w:t xml:space="preserve"> Agreement”). Under the terms of the </w:t>
      </w:r>
      <w:proofErr w:type="spellStart"/>
      <w:r w:rsidR="00095BF8" w:rsidRPr="0052677E">
        <w:rPr>
          <w:sz w:val="20"/>
        </w:rPr>
        <w:t>Goldboro</w:t>
      </w:r>
      <w:proofErr w:type="spellEnd"/>
      <w:r w:rsidR="00095BF8" w:rsidRPr="0052677E">
        <w:rPr>
          <w:sz w:val="20"/>
        </w:rPr>
        <w:t xml:space="preserve"> Agreement, the Company acquired mineral licenses </w:t>
      </w:r>
      <w:r w:rsidR="00DF09DE" w:rsidRPr="0052677E">
        <w:rPr>
          <w:sz w:val="20"/>
        </w:rPr>
        <w:t>in Nova Scotia</w:t>
      </w:r>
      <w:r w:rsidR="00095BF8" w:rsidRPr="0052677E">
        <w:rPr>
          <w:sz w:val="20"/>
        </w:rPr>
        <w:t>.</w:t>
      </w:r>
      <w:r w:rsidR="00E33C38" w:rsidRPr="0052677E">
        <w:rPr>
          <w:sz w:val="20"/>
        </w:rPr>
        <w:t xml:space="preserve"> </w:t>
      </w:r>
      <w:r w:rsidR="00095BF8" w:rsidRPr="0052677E">
        <w:rPr>
          <w:sz w:val="20"/>
        </w:rPr>
        <w:t xml:space="preserve">As consideration, the Company paid $890 </w:t>
      </w:r>
      <w:r w:rsidR="00E33C38" w:rsidRPr="0052677E">
        <w:rPr>
          <w:sz w:val="20"/>
        </w:rPr>
        <w:t xml:space="preserve">in </w:t>
      </w:r>
      <w:r w:rsidR="00095BF8" w:rsidRPr="0052677E">
        <w:rPr>
          <w:sz w:val="20"/>
        </w:rPr>
        <w:t xml:space="preserve">cash. The mineral licenses in the </w:t>
      </w:r>
      <w:proofErr w:type="spellStart"/>
      <w:r w:rsidR="00095BF8" w:rsidRPr="0052677E">
        <w:rPr>
          <w:sz w:val="20"/>
        </w:rPr>
        <w:t>Goldboro</w:t>
      </w:r>
      <w:proofErr w:type="spellEnd"/>
      <w:r w:rsidR="00095BF8" w:rsidRPr="0052677E">
        <w:rPr>
          <w:sz w:val="20"/>
        </w:rPr>
        <w:t xml:space="preserve"> Agreement are subject to a two percent royalty on gross revenue.</w:t>
      </w:r>
    </w:p>
    <w:p w14:paraId="63EF9D47" w14:textId="600665DF" w:rsidR="00DF09DE" w:rsidRPr="0052677E" w:rsidRDefault="00DF09DE" w:rsidP="0052677E">
      <w:pPr>
        <w:spacing w:after="120"/>
        <w:ind w:left="432"/>
        <w:jc w:val="both"/>
        <w:rPr>
          <w:sz w:val="20"/>
        </w:rPr>
      </w:pPr>
      <w:r w:rsidRPr="0052677E">
        <w:rPr>
          <w:sz w:val="20"/>
        </w:rPr>
        <w:t xml:space="preserve">On August 10, 2018, the Company entered into an asset purchase and sale agreement. Under the terms of the </w:t>
      </w:r>
      <w:proofErr w:type="spellStart"/>
      <w:r w:rsidRPr="0052677E">
        <w:rPr>
          <w:sz w:val="20"/>
        </w:rPr>
        <w:t>Meguma</w:t>
      </w:r>
      <w:proofErr w:type="spellEnd"/>
      <w:r w:rsidRPr="0052677E">
        <w:rPr>
          <w:sz w:val="20"/>
        </w:rPr>
        <w:t xml:space="preserve"> District Asset Purchase and Sale Agreement (</w:t>
      </w:r>
      <w:r w:rsidR="00995D2D" w:rsidRPr="0052677E">
        <w:rPr>
          <w:sz w:val="20"/>
        </w:rPr>
        <w:t>"</w:t>
      </w:r>
      <w:proofErr w:type="spellStart"/>
      <w:r w:rsidRPr="0052677E">
        <w:rPr>
          <w:sz w:val="20"/>
        </w:rPr>
        <w:t>Meguma</w:t>
      </w:r>
      <w:proofErr w:type="spellEnd"/>
      <w:r w:rsidRPr="0052677E">
        <w:rPr>
          <w:sz w:val="20"/>
        </w:rPr>
        <w:t xml:space="preserve"> District Agreement</w:t>
      </w:r>
      <w:r w:rsidR="00995D2D" w:rsidRPr="0052677E">
        <w:rPr>
          <w:sz w:val="20"/>
        </w:rPr>
        <w:t>”</w:t>
      </w:r>
      <w:r w:rsidRPr="0052677E">
        <w:rPr>
          <w:sz w:val="20"/>
        </w:rPr>
        <w:t xml:space="preserve">), the Company acquired 100% interest </w:t>
      </w:r>
      <w:r w:rsidR="00E33C38" w:rsidRPr="0052677E">
        <w:rPr>
          <w:sz w:val="20"/>
        </w:rPr>
        <w:t xml:space="preserve">in mineral licenses </w:t>
      </w:r>
      <w:r w:rsidRPr="0052677E">
        <w:rPr>
          <w:sz w:val="20"/>
        </w:rPr>
        <w:t>in Nova Scotia.</w:t>
      </w:r>
      <w:r w:rsidR="00E33C38" w:rsidRPr="0052677E">
        <w:rPr>
          <w:sz w:val="20"/>
        </w:rPr>
        <w:t xml:space="preserve"> </w:t>
      </w:r>
      <w:r w:rsidRPr="0052677E">
        <w:rPr>
          <w:sz w:val="20"/>
        </w:rPr>
        <w:t xml:space="preserve">As consideration, the Company paid $24,490 </w:t>
      </w:r>
      <w:r w:rsidR="002B2AE6">
        <w:rPr>
          <w:sz w:val="20"/>
        </w:rPr>
        <w:t>in</w:t>
      </w:r>
      <w:r w:rsidRPr="0052677E">
        <w:rPr>
          <w:sz w:val="20"/>
        </w:rPr>
        <w:t xml:space="preserve"> cash. The mineral licenses in the </w:t>
      </w:r>
      <w:proofErr w:type="spellStart"/>
      <w:r w:rsidR="00995D2D" w:rsidRPr="0052677E">
        <w:rPr>
          <w:sz w:val="20"/>
        </w:rPr>
        <w:t>Meguma</w:t>
      </w:r>
      <w:proofErr w:type="spellEnd"/>
      <w:r w:rsidR="00995D2D" w:rsidRPr="0052677E">
        <w:rPr>
          <w:sz w:val="20"/>
        </w:rPr>
        <w:t xml:space="preserve"> </w:t>
      </w:r>
      <w:r w:rsidRPr="0052677E">
        <w:rPr>
          <w:sz w:val="20"/>
        </w:rPr>
        <w:t>District Agreement are subject to a two percent royalty on gross revenue.</w:t>
      </w:r>
    </w:p>
    <w:p w14:paraId="2F3C5230" w14:textId="4D0BE4E0" w:rsidR="00E33C38" w:rsidRDefault="00095BF8" w:rsidP="0052677E">
      <w:pPr>
        <w:spacing w:after="120"/>
        <w:ind w:left="432"/>
        <w:jc w:val="both"/>
        <w:rPr>
          <w:sz w:val="20"/>
        </w:rPr>
      </w:pPr>
      <w:r w:rsidRPr="0052677E">
        <w:rPr>
          <w:sz w:val="20"/>
        </w:rPr>
        <w:t xml:space="preserve">On August 14, 2018, the Company entered into an asset purchase and sale agreement. Under the terms of the SW </w:t>
      </w:r>
      <w:proofErr w:type="spellStart"/>
      <w:r w:rsidRPr="0052677E">
        <w:rPr>
          <w:sz w:val="20"/>
        </w:rPr>
        <w:t>Meguma</w:t>
      </w:r>
      <w:proofErr w:type="spellEnd"/>
      <w:r w:rsidRPr="0052677E">
        <w:rPr>
          <w:sz w:val="20"/>
        </w:rPr>
        <w:t xml:space="preserve"> Asset Purchase and Sale Agreement</w:t>
      </w:r>
      <w:r w:rsidR="00DF09DE" w:rsidRPr="0052677E">
        <w:rPr>
          <w:sz w:val="20"/>
        </w:rPr>
        <w:t xml:space="preserve"> (</w:t>
      </w:r>
      <w:r w:rsidR="002B2AE6">
        <w:rPr>
          <w:sz w:val="20"/>
        </w:rPr>
        <w:t>“</w:t>
      </w:r>
      <w:r w:rsidR="00DF09DE" w:rsidRPr="0052677E">
        <w:rPr>
          <w:sz w:val="20"/>
        </w:rPr>
        <w:t xml:space="preserve">SW </w:t>
      </w:r>
      <w:proofErr w:type="spellStart"/>
      <w:r w:rsidR="00DF09DE" w:rsidRPr="0052677E">
        <w:rPr>
          <w:sz w:val="20"/>
        </w:rPr>
        <w:t>Meguma</w:t>
      </w:r>
      <w:proofErr w:type="spellEnd"/>
      <w:r w:rsidR="00DF09DE" w:rsidRPr="0052677E">
        <w:rPr>
          <w:sz w:val="20"/>
        </w:rPr>
        <w:t xml:space="preserve"> Agreement</w:t>
      </w:r>
      <w:r w:rsidR="002B2AE6">
        <w:rPr>
          <w:sz w:val="20"/>
        </w:rPr>
        <w:t>”</w:t>
      </w:r>
      <w:r w:rsidR="00DF09DE" w:rsidRPr="0052677E">
        <w:rPr>
          <w:sz w:val="20"/>
        </w:rPr>
        <w:t>)</w:t>
      </w:r>
      <w:r w:rsidRPr="0052677E">
        <w:rPr>
          <w:sz w:val="20"/>
        </w:rPr>
        <w:t xml:space="preserve">, the Company acquired </w:t>
      </w:r>
      <w:r w:rsidR="00DF09DE" w:rsidRPr="0052677E">
        <w:rPr>
          <w:sz w:val="20"/>
        </w:rPr>
        <w:t xml:space="preserve">100% </w:t>
      </w:r>
      <w:r w:rsidR="00DF09DE" w:rsidRPr="0052677E">
        <w:rPr>
          <w:sz w:val="20"/>
        </w:rPr>
        <w:lastRenderedPageBreak/>
        <w:t xml:space="preserve">interest </w:t>
      </w:r>
      <w:r w:rsidR="00E33C38" w:rsidRPr="0052677E">
        <w:rPr>
          <w:sz w:val="20"/>
        </w:rPr>
        <w:t xml:space="preserve">in mineral licenses </w:t>
      </w:r>
      <w:r w:rsidR="00DF09DE" w:rsidRPr="0052677E">
        <w:rPr>
          <w:sz w:val="20"/>
        </w:rPr>
        <w:t>in Nova Scotia</w:t>
      </w:r>
      <w:r w:rsidRPr="0052677E">
        <w:rPr>
          <w:sz w:val="20"/>
        </w:rPr>
        <w:t>.</w:t>
      </w:r>
      <w:r w:rsidR="00E33C38" w:rsidRPr="0052677E">
        <w:rPr>
          <w:sz w:val="20"/>
        </w:rPr>
        <w:t xml:space="preserve"> </w:t>
      </w:r>
      <w:r w:rsidRPr="0052677E">
        <w:rPr>
          <w:sz w:val="20"/>
        </w:rPr>
        <w:t>As consideration, the Company paid $</w:t>
      </w:r>
      <w:r w:rsidR="00DF09DE" w:rsidRPr="0052677E">
        <w:rPr>
          <w:sz w:val="20"/>
        </w:rPr>
        <w:t>42,490</w:t>
      </w:r>
      <w:r w:rsidRPr="0052677E">
        <w:rPr>
          <w:sz w:val="20"/>
        </w:rPr>
        <w:t xml:space="preserve"> </w:t>
      </w:r>
      <w:r w:rsidR="00E33C38" w:rsidRPr="0052677E">
        <w:rPr>
          <w:sz w:val="20"/>
        </w:rPr>
        <w:t xml:space="preserve">in </w:t>
      </w:r>
      <w:r w:rsidRPr="0052677E">
        <w:rPr>
          <w:sz w:val="20"/>
        </w:rPr>
        <w:t>cash. The mineral l</w:t>
      </w:r>
      <w:r w:rsidR="00DF09DE" w:rsidRPr="0052677E">
        <w:rPr>
          <w:sz w:val="20"/>
        </w:rPr>
        <w:t xml:space="preserve">icenses in the SW </w:t>
      </w:r>
      <w:proofErr w:type="spellStart"/>
      <w:r w:rsidR="00DF09DE" w:rsidRPr="0052677E">
        <w:rPr>
          <w:sz w:val="20"/>
        </w:rPr>
        <w:t>Meguma</w:t>
      </w:r>
      <w:proofErr w:type="spellEnd"/>
      <w:r w:rsidRPr="0052677E">
        <w:rPr>
          <w:sz w:val="20"/>
        </w:rPr>
        <w:t xml:space="preserve"> Agreement are subject to a two percent royalty on gross revenue.</w:t>
      </w:r>
      <w:r w:rsidR="00A24B11">
        <w:rPr>
          <w:sz w:val="20"/>
        </w:rPr>
        <w:t xml:space="preserve"> </w:t>
      </w:r>
      <w:r w:rsidR="001D7DF6">
        <w:rPr>
          <w:sz w:val="20"/>
        </w:rPr>
        <w:t>This property was fully impaired during the year ended March 31, 2020.</w:t>
      </w:r>
    </w:p>
    <w:p w14:paraId="4152A915" w14:textId="77777777" w:rsidR="006C1094" w:rsidRPr="0052677E" w:rsidRDefault="006C1094" w:rsidP="006C1094">
      <w:pPr>
        <w:autoSpaceDE w:val="0"/>
        <w:autoSpaceDN w:val="0"/>
        <w:adjustRightInd w:val="0"/>
        <w:ind w:left="425" w:hanging="425"/>
        <w:jc w:val="both"/>
        <w:rPr>
          <w:b/>
          <w:spacing w:val="-2"/>
          <w:sz w:val="20"/>
        </w:rPr>
      </w:pPr>
      <w:r w:rsidRPr="003952A9">
        <w:rPr>
          <w:b/>
          <w:spacing w:val="-2"/>
          <w:sz w:val="20"/>
        </w:rPr>
        <w:t>4</w:t>
      </w:r>
      <w:r w:rsidRPr="0052677E">
        <w:rPr>
          <w:b/>
          <w:spacing w:val="-2"/>
          <w:sz w:val="20"/>
        </w:rPr>
        <w:t>.</w:t>
      </w:r>
      <w:r w:rsidRPr="0052677E">
        <w:rPr>
          <w:b/>
          <w:spacing w:val="-2"/>
          <w:sz w:val="20"/>
        </w:rPr>
        <w:tab/>
        <w:t>Exploration and evaluation assets (</w:t>
      </w:r>
      <w:r>
        <w:rPr>
          <w:b/>
          <w:spacing w:val="-2"/>
          <w:sz w:val="20"/>
        </w:rPr>
        <w:t>c</w:t>
      </w:r>
      <w:r w:rsidRPr="0052677E">
        <w:rPr>
          <w:b/>
          <w:spacing w:val="-2"/>
          <w:sz w:val="20"/>
        </w:rPr>
        <w:t>ontinued)</w:t>
      </w:r>
    </w:p>
    <w:p w14:paraId="1B2D65F8" w14:textId="77777777" w:rsidR="006C1094" w:rsidRDefault="006C1094" w:rsidP="006C1094">
      <w:pPr>
        <w:autoSpaceDE w:val="0"/>
        <w:autoSpaceDN w:val="0"/>
        <w:adjustRightInd w:val="0"/>
        <w:ind w:firstLine="425"/>
        <w:jc w:val="both"/>
        <w:rPr>
          <w:rFonts w:eastAsia="PMingLiU"/>
          <w:b/>
          <w:iCs/>
          <w:sz w:val="20"/>
        </w:rPr>
      </w:pPr>
    </w:p>
    <w:p w14:paraId="37AD9EAE" w14:textId="77777777" w:rsidR="006C1094" w:rsidRPr="0052677E" w:rsidRDefault="006C1094" w:rsidP="006C1094">
      <w:pPr>
        <w:widowControl/>
        <w:tabs>
          <w:tab w:val="left" w:pos="900"/>
        </w:tabs>
        <w:suppressAutoHyphens/>
        <w:overflowPunct w:val="0"/>
        <w:autoSpaceDE w:val="0"/>
        <w:autoSpaceDN w:val="0"/>
        <w:adjustRightInd w:val="0"/>
        <w:spacing w:after="120"/>
        <w:ind w:left="450"/>
        <w:jc w:val="both"/>
        <w:textAlignment w:val="baseline"/>
        <w:rPr>
          <w:b/>
          <w:spacing w:val="-3"/>
          <w:sz w:val="20"/>
        </w:rPr>
      </w:pPr>
      <w:r w:rsidRPr="0052677E">
        <w:rPr>
          <w:b/>
          <w:spacing w:val="-3"/>
          <w:sz w:val="20"/>
        </w:rPr>
        <w:t>Acquisition of Additional Mineral Licenses (</w:t>
      </w:r>
      <w:r>
        <w:rPr>
          <w:b/>
          <w:spacing w:val="-3"/>
          <w:sz w:val="20"/>
        </w:rPr>
        <w:t>c</w:t>
      </w:r>
      <w:r w:rsidRPr="0052677E">
        <w:rPr>
          <w:b/>
          <w:spacing w:val="-3"/>
          <w:sz w:val="20"/>
        </w:rPr>
        <w:t>ontinued)</w:t>
      </w:r>
    </w:p>
    <w:p w14:paraId="576083FD" w14:textId="330CC082" w:rsidR="000931D3" w:rsidRPr="0052677E" w:rsidRDefault="000931D3" w:rsidP="0052677E">
      <w:pPr>
        <w:spacing w:after="120"/>
        <w:ind w:left="432"/>
        <w:jc w:val="both"/>
        <w:rPr>
          <w:sz w:val="20"/>
        </w:rPr>
      </w:pPr>
      <w:r w:rsidRPr="0052677E">
        <w:rPr>
          <w:sz w:val="20"/>
        </w:rPr>
        <w:t xml:space="preserve">On October 14, 2018, the Company </w:t>
      </w:r>
      <w:r w:rsidR="006C24A9" w:rsidRPr="0052677E">
        <w:rPr>
          <w:sz w:val="20"/>
        </w:rPr>
        <w:t>entered</w:t>
      </w:r>
      <w:r w:rsidRPr="0052677E">
        <w:rPr>
          <w:sz w:val="20"/>
        </w:rPr>
        <w:t xml:space="preserve"> into an asset purchase and sale agreement. Under the terms of the Central </w:t>
      </w:r>
      <w:proofErr w:type="spellStart"/>
      <w:r w:rsidRPr="0052677E">
        <w:rPr>
          <w:sz w:val="20"/>
        </w:rPr>
        <w:t>Meguma</w:t>
      </w:r>
      <w:proofErr w:type="spellEnd"/>
      <w:r w:rsidRPr="0052677E">
        <w:rPr>
          <w:sz w:val="20"/>
        </w:rPr>
        <w:t xml:space="preserve"> Asset Purchase and Sale Agreement (“Central </w:t>
      </w:r>
      <w:proofErr w:type="spellStart"/>
      <w:r w:rsidRPr="0052677E">
        <w:rPr>
          <w:sz w:val="20"/>
        </w:rPr>
        <w:t>Meguma</w:t>
      </w:r>
      <w:proofErr w:type="spellEnd"/>
      <w:r w:rsidRPr="0052677E">
        <w:rPr>
          <w:sz w:val="20"/>
        </w:rPr>
        <w:t xml:space="preserve"> Agreement”), the Company acquired 100% interest of </w:t>
      </w:r>
      <w:r w:rsidR="00E33C38" w:rsidRPr="0052677E">
        <w:rPr>
          <w:sz w:val="20"/>
        </w:rPr>
        <w:t xml:space="preserve">mineral </w:t>
      </w:r>
      <w:r w:rsidR="003D657F" w:rsidRPr="0052677E">
        <w:rPr>
          <w:sz w:val="20"/>
        </w:rPr>
        <w:t>licenses</w:t>
      </w:r>
      <w:r w:rsidRPr="0052677E">
        <w:rPr>
          <w:sz w:val="20"/>
        </w:rPr>
        <w:t xml:space="preserve"> in Nova Scotia.</w:t>
      </w:r>
      <w:r w:rsidR="00E33C38" w:rsidRPr="0052677E">
        <w:rPr>
          <w:sz w:val="20"/>
        </w:rPr>
        <w:t xml:space="preserve"> </w:t>
      </w:r>
      <w:r w:rsidRPr="0052677E">
        <w:rPr>
          <w:sz w:val="20"/>
        </w:rPr>
        <w:t xml:space="preserve">As consideration, the Company paid $2,200 </w:t>
      </w:r>
      <w:r w:rsidR="008951FF" w:rsidRPr="0052677E">
        <w:rPr>
          <w:sz w:val="20"/>
        </w:rPr>
        <w:t>in</w:t>
      </w:r>
      <w:r w:rsidRPr="0052677E">
        <w:rPr>
          <w:sz w:val="20"/>
        </w:rPr>
        <w:t xml:space="preserve"> cash. The mineral licenses in the Central </w:t>
      </w:r>
      <w:proofErr w:type="spellStart"/>
      <w:r w:rsidRPr="0052677E">
        <w:rPr>
          <w:sz w:val="20"/>
        </w:rPr>
        <w:t>Meguma</w:t>
      </w:r>
      <w:proofErr w:type="spellEnd"/>
      <w:r w:rsidRPr="0052677E">
        <w:rPr>
          <w:sz w:val="20"/>
        </w:rPr>
        <w:t xml:space="preserve"> Agreement are subject to a two percent royalty on gross revenue.</w:t>
      </w:r>
    </w:p>
    <w:p w14:paraId="37AF5C6D" w14:textId="7288C862" w:rsidR="006C24A9" w:rsidRDefault="006C24A9" w:rsidP="003952A9">
      <w:pPr>
        <w:spacing w:after="120"/>
        <w:ind w:left="432"/>
        <w:jc w:val="both"/>
        <w:rPr>
          <w:sz w:val="20"/>
        </w:rPr>
      </w:pPr>
      <w:r w:rsidRPr="0052677E">
        <w:rPr>
          <w:sz w:val="20"/>
        </w:rPr>
        <w:t xml:space="preserve">On </w:t>
      </w:r>
      <w:r w:rsidRPr="00B2700F">
        <w:rPr>
          <w:sz w:val="20"/>
        </w:rPr>
        <w:t>March 24, 2020,</w:t>
      </w:r>
      <w:r w:rsidRPr="0052677E">
        <w:rPr>
          <w:sz w:val="20"/>
        </w:rPr>
        <w:t xml:space="preserve"> the Company entered into an asset purchase and sale agreement. Under the terms of the </w:t>
      </w:r>
      <w:r>
        <w:rPr>
          <w:sz w:val="20"/>
        </w:rPr>
        <w:t xml:space="preserve">Central </w:t>
      </w:r>
      <w:proofErr w:type="spellStart"/>
      <w:r>
        <w:rPr>
          <w:sz w:val="20"/>
        </w:rPr>
        <w:t>Goldenville</w:t>
      </w:r>
      <w:proofErr w:type="spellEnd"/>
      <w:r w:rsidRPr="0052677E">
        <w:rPr>
          <w:sz w:val="20"/>
        </w:rPr>
        <w:t xml:space="preserve"> Asset </w:t>
      </w:r>
      <w:r>
        <w:rPr>
          <w:sz w:val="20"/>
        </w:rPr>
        <w:t xml:space="preserve">Purchase and Sale </w:t>
      </w:r>
      <w:r w:rsidRPr="0052677E">
        <w:rPr>
          <w:sz w:val="20"/>
        </w:rPr>
        <w:t>Agreement (“</w:t>
      </w:r>
      <w:r>
        <w:rPr>
          <w:sz w:val="20"/>
        </w:rPr>
        <w:t xml:space="preserve">Central </w:t>
      </w:r>
      <w:proofErr w:type="spellStart"/>
      <w:r>
        <w:rPr>
          <w:sz w:val="20"/>
        </w:rPr>
        <w:t>Goldenville</w:t>
      </w:r>
      <w:proofErr w:type="spellEnd"/>
      <w:r>
        <w:rPr>
          <w:sz w:val="20"/>
        </w:rPr>
        <w:t xml:space="preserve"> Agreement</w:t>
      </w:r>
      <w:r w:rsidRPr="0052677E">
        <w:rPr>
          <w:sz w:val="20"/>
        </w:rPr>
        <w:t xml:space="preserve">”), the Company acquired 100% interest of </w:t>
      </w:r>
      <w:r>
        <w:rPr>
          <w:sz w:val="20"/>
        </w:rPr>
        <w:t>203</w:t>
      </w:r>
      <w:r w:rsidRPr="0052677E">
        <w:rPr>
          <w:sz w:val="20"/>
        </w:rPr>
        <w:t xml:space="preserve"> mineral </w:t>
      </w:r>
      <w:r w:rsidR="003D657F">
        <w:rPr>
          <w:sz w:val="20"/>
        </w:rPr>
        <w:t>licenses</w:t>
      </w:r>
      <w:r w:rsidRPr="0052677E">
        <w:rPr>
          <w:sz w:val="20"/>
        </w:rPr>
        <w:t xml:space="preserve"> in Nova Scotia. As consideration, the Company paid $</w:t>
      </w:r>
      <w:r>
        <w:rPr>
          <w:sz w:val="20"/>
        </w:rPr>
        <w:t>2</w:t>
      </w:r>
      <w:r w:rsidRPr="0052677E">
        <w:rPr>
          <w:sz w:val="20"/>
        </w:rPr>
        <w:t xml:space="preserve">,500 in cash. The mineral licenses in the </w:t>
      </w:r>
      <w:r w:rsidR="00224286" w:rsidRPr="00224286">
        <w:rPr>
          <w:sz w:val="20"/>
        </w:rPr>
        <w:t xml:space="preserve">Central </w:t>
      </w:r>
      <w:proofErr w:type="spellStart"/>
      <w:r w:rsidR="00224286" w:rsidRPr="00224286">
        <w:rPr>
          <w:sz w:val="20"/>
        </w:rPr>
        <w:t>Goldenville</w:t>
      </w:r>
      <w:proofErr w:type="spellEnd"/>
      <w:r w:rsidR="00224286" w:rsidRPr="00224286">
        <w:rPr>
          <w:sz w:val="20"/>
        </w:rPr>
        <w:t xml:space="preserve"> Agreement </w:t>
      </w:r>
      <w:r w:rsidRPr="0052677E">
        <w:rPr>
          <w:sz w:val="20"/>
        </w:rPr>
        <w:t xml:space="preserve">are subject to a </w:t>
      </w:r>
      <w:r w:rsidR="00224286">
        <w:rPr>
          <w:sz w:val="20"/>
        </w:rPr>
        <w:t>2%</w:t>
      </w:r>
      <w:r w:rsidRPr="0052677E">
        <w:rPr>
          <w:sz w:val="20"/>
        </w:rPr>
        <w:t xml:space="preserve"> royalty on gross revenue.</w:t>
      </w:r>
    </w:p>
    <w:p w14:paraId="7B8CBE35" w14:textId="7407CFFA" w:rsidR="0052677E" w:rsidRPr="003952A9" w:rsidRDefault="00424FE7" w:rsidP="003952A9">
      <w:pPr>
        <w:spacing w:after="120"/>
        <w:ind w:left="432"/>
        <w:jc w:val="both"/>
        <w:rPr>
          <w:sz w:val="20"/>
        </w:rPr>
      </w:pPr>
      <w:bookmarkStart w:id="5" w:name="OLE_LINK3"/>
      <w:bookmarkStart w:id="6" w:name="OLE_LINK4"/>
      <w:r w:rsidRPr="0052677E">
        <w:rPr>
          <w:sz w:val="20"/>
        </w:rPr>
        <w:t xml:space="preserve">On </w:t>
      </w:r>
      <w:r w:rsidRPr="00B2700F">
        <w:rPr>
          <w:sz w:val="20"/>
        </w:rPr>
        <w:t>March 24,</w:t>
      </w:r>
      <w:r w:rsidR="00C20776" w:rsidRPr="00B2700F">
        <w:rPr>
          <w:sz w:val="20"/>
        </w:rPr>
        <w:t xml:space="preserve"> 20</w:t>
      </w:r>
      <w:r w:rsidR="00B2700F" w:rsidRPr="00B2700F">
        <w:rPr>
          <w:sz w:val="20"/>
        </w:rPr>
        <w:t>20</w:t>
      </w:r>
      <w:r w:rsidR="00C20776" w:rsidRPr="00B2700F">
        <w:rPr>
          <w:sz w:val="20"/>
        </w:rPr>
        <w:t>,</w:t>
      </w:r>
      <w:r w:rsidRPr="0052677E">
        <w:rPr>
          <w:sz w:val="20"/>
        </w:rPr>
        <w:t xml:space="preserve"> the Company </w:t>
      </w:r>
      <w:r w:rsidR="003D657F" w:rsidRPr="0052677E">
        <w:rPr>
          <w:sz w:val="20"/>
        </w:rPr>
        <w:t>entered</w:t>
      </w:r>
      <w:r w:rsidRPr="0052677E">
        <w:rPr>
          <w:sz w:val="20"/>
        </w:rPr>
        <w:t xml:space="preserve"> into an asset purchase and sale agreement. Under the terms of the </w:t>
      </w:r>
      <w:proofErr w:type="spellStart"/>
      <w:r w:rsidRPr="0052677E">
        <w:rPr>
          <w:sz w:val="20"/>
        </w:rPr>
        <w:t>Touquoy</w:t>
      </w:r>
      <w:proofErr w:type="spellEnd"/>
      <w:r w:rsidRPr="0052677E">
        <w:rPr>
          <w:sz w:val="20"/>
        </w:rPr>
        <w:t xml:space="preserve"> Regional Asset </w:t>
      </w:r>
      <w:r w:rsidR="002440E9">
        <w:rPr>
          <w:sz w:val="20"/>
        </w:rPr>
        <w:t xml:space="preserve">Purchase and Sale </w:t>
      </w:r>
      <w:r w:rsidRPr="0052677E">
        <w:rPr>
          <w:sz w:val="20"/>
        </w:rPr>
        <w:t>Agreement (“</w:t>
      </w:r>
      <w:proofErr w:type="spellStart"/>
      <w:r w:rsidRPr="0052677E">
        <w:rPr>
          <w:sz w:val="20"/>
        </w:rPr>
        <w:t>Touquoy</w:t>
      </w:r>
      <w:proofErr w:type="spellEnd"/>
      <w:r w:rsidRPr="0052677E">
        <w:rPr>
          <w:sz w:val="20"/>
        </w:rPr>
        <w:t xml:space="preserve"> Regional Agreement”), the Company acquired 100% interest of 477 mineral licenses in Nova Scotia</w:t>
      </w:r>
      <w:bookmarkEnd w:id="5"/>
      <w:bookmarkEnd w:id="6"/>
      <w:r w:rsidRPr="0052677E">
        <w:rPr>
          <w:sz w:val="20"/>
        </w:rPr>
        <w:t xml:space="preserve">. As consideration, the Company paid $5,500 in cash. The mineral licenses in the </w:t>
      </w:r>
      <w:proofErr w:type="spellStart"/>
      <w:r w:rsidR="00C20776" w:rsidRPr="0052677E">
        <w:rPr>
          <w:sz w:val="20"/>
        </w:rPr>
        <w:t>Touquoy</w:t>
      </w:r>
      <w:proofErr w:type="spellEnd"/>
      <w:r w:rsidR="00C20776" w:rsidRPr="0052677E">
        <w:rPr>
          <w:sz w:val="20"/>
        </w:rPr>
        <w:t xml:space="preserve"> Regional Agreement</w:t>
      </w:r>
      <w:r w:rsidR="00C20776" w:rsidRPr="0052677E" w:rsidDel="00C20776">
        <w:rPr>
          <w:sz w:val="20"/>
        </w:rPr>
        <w:t xml:space="preserve"> </w:t>
      </w:r>
      <w:r w:rsidRPr="0052677E">
        <w:rPr>
          <w:sz w:val="20"/>
        </w:rPr>
        <w:t xml:space="preserve">are subject to a </w:t>
      </w:r>
      <w:r w:rsidR="00224286">
        <w:rPr>
          <w:sz w:val="20"/>
        </w:rPr>
        <w:t>2%</w:t>
      </w:r>
      <w:r w:rsidRPr="0052677E">
        <w:rPr>
          <w:sz w:val="20"/>
        </w:rPr>
        <w:t xml:space="preserve"> royalty on gross revenue.</w:t>
      </w:r>
    </w:p>
    <w:p w14:paraId="20B0AAE7" w14:textId="77777777" w:rsidR="00C522A3" w:rsidRPr="0052677E" w:rsidRDefault="00C522A3" w:rsidP="0052677E">
      <w:pPr>
        <w:spacing w:after="120"/>
        <w:ind w:left="432"/>
        <w:jc w:val="both"/>
        <w:rPr>
          <w:sz w:val="20"/>
        </w:rPr>
      </w:pPr>
      <w:r w:rsidRPr="0052677E">
        <w:rPr>
          <w:sz w:val="20"/>
        </w:rPr>
        <w:t>Option Agreements</w:t>
      </w:r>
      <w:r w:rsidR="00E33C38" w:rsidRPr="0052677E">
        <w:rPr>
          <w:sz w:val="20"/>
        </w:rPr>
        <w:t>:</w:t>
      </w:r>
    </w:p>
    <w:p w14:paraId="560486D6" w14:textId="017D12C4" w:rsidR="000545C9" w:rsidRPr="0052677E" w:rsidRDefault="000545C9" w:rsidP="0052677E">
      <w:pPr>
        <w:spacing w:after="120"/>
        <w:ind w:left="432"/>
        <w:jc w:val="both"/>
        <w:rPr>
          <w:sz w:val="20"/>
        </w:rPr>
      </w:pPr>
      <w:r>
        <w:rPr>
          <w:sz w:val="20"/>
        </w:rPr>
        <w:t xml:space="preserve">(i) </w:t>
      </w:r>
      <w:r w:rsidRPr="000545C9">
        <w:rPr>
          <w:sz w:val="20"/>
        </w:rPr>
        <w:t>Higgins Brook Property</w:t>
      </w:r>
    </w:p>
    <w:p w14:paraId="7332F133" w14:textId="3645A539" w:rsidR="00C522A3" w:rsidRPr="0052677E" w:rsidRDefault="00C522A3" w:rsidP="0052677E">
      <w:pPr>
        <w:spacing w:after="120"/>
        <w:ind w:left="432"/>
        <w:jc w:val="both"/>
        <w:rPr>
          <w:sz w:val="20"/>
        </w:rPr>
      </w:pPr>
      <w:r w:rsidRPr="0052677E">
        <w:rPr>
          <w:sz w:val="20"/>
        </w:rPr>
        <w:t xml:space="preserve">On August 10, 2018, the Company entered into an Option Agreement (“Higgins Brook Property”) to explore and develop licenses located in Nova Scotia. The Company obtained an option to earn 100% interest subject to a 2% </w:t>
      </w:r>
      <w:r w:rsidR="00E33C38" w:rsidRPr="0052677E">
        <w:rPr>
          <w:sz w:val="20"/>
        </w:rPr>
        <w:t>Net Smelter Royalty (“NSR”)</w:t>
      </w:r>
      <w:r w:rsidRPr="0052677E">
        <w:rPr>
          <w:sz w:val="20"/>
        </w:rPr>
        <w:t>. The Company has the option to reduce the NSR royalty to 1% with a payment of $1,000,000.</w:t>
      </w:r>
    </w:p>
    <w:p w14:paraId="5FBEA6BF" w14:textId="77777777" w:rsidR="00C522A3" w:rsidRPr="0052677E" w:rsidRDefault="00C522A3" w:rsidP="0052677E">
      <w:pPr>
        <w:spacing w:after="120"/>
        <w:ind w:left="432"/>
        <w:jc w:val="both"/>
        <w:rPr>
          <w:sz w:val="20"/>
        </w:rPr>
      </w:pPr>
      <w:r w:rsidRPr="0052677E">
        <w:rPr>
          <w:sz w:val="20"/>
        </w:rPr>
        <w:t>To earn 100% interest, the Company is committed to make the following payments and expenditures:</w:t>
      </w:r>
    </w:p>
    <w:p w14:paraId="6D76B2E5" w14:textId="77777777" w:rsidR="00C522A3" w:rsidRPr="000206BE" w:rsidRDefault="00C522A3" w:rsidP="00C522A3">
      <w:pPr>
        <w:pStyle w:val="ListParagraph"/>
        <w:numPr>
          <w:ilvl w:val="0"/>
          <w:numId w:val="22"/>
        </w:numPr>
        <w:autoSpaceDE w:val="0"/>
        <w:autoSpaceDN w:val="0"/>
        <w:adjustRightInd w:val="0"/>
        <w:jc w:val="both"/>
        <w:rPr>
          <w:spacing w:val="-2"/>
          <w:sz w:val="20"/>
        </w:rPr>
      </w:pPr>
      <w:r w:rsidRPr="000206BE">
        <w:rPr>
          <w:spacing w:val="-2"/>
          <w:sz w:val="20"/>
        </w:rPr>
        <w:t>Cash payment of $30,000 within 10 business days of signing the Higgins Brook Property Option Agreement; (paid)</w:t>
      </w:r>
    </w:p>
    <w:p w14:paraId="7DB9FFA9" w14:textId="77777777" w:rsidR="00C522A3" w:rsidRPr="000206BE" w:rsidRDefault="00C522A3" w:rsidP="00C522A3">
      <w:pPr>
        <w:pStyle w:val="ListParagraph"/>
        <w:numPr>
          <w:ilvl w:val="0"/>
          <w:numId w:val="22"/>
        </w:numPr>
        <w:autoSpaceDE w:val="0"/>
        <w:autoSpaceDN w:val="0"/>
        <w:adjustRightInd w:val="0"/>
        <w:jc w:val="both"/>
        <w:rPr>
          <w:spacing w:val="-2"/>
          <w:sz w:val="20"/>
        </w:rPr>
      </w:pPr>
      <w:r w:rsidRPr="000206BE">
        <w:rPr>
          <w:spacing w:val="-2"/>
          <w:sz w:val="20"/>
        </w:rPr>
        <w:t xml:space="preserve">Cash payment of $30,000 on or before the 12-month anniversary (paid); </w:t>
      </w:r>
    </w:p>
    <w:p w14:paraId="6391FBFD" w14:textId="594DA42A" w:rsidR="00C522A3" w:rsidRPr="000206BE" w:rsidRDefault="00C522A3" w:rsidP="00C522A3">
      <w:pPr>
        <w:pStyle w:val="ListParagraph"/>
        <w:numPr>
          <w:ilvl w:val="0"/>
          <w:numId w:val="22"/>
        </w:numPr>
        <w:autoSpaceDE w:val="0"/>
        <w:autoSpaceDN w:val="0"/>
        <w:adjustRightInd w:val="0"/>
        <w:jc w:val="both"/>
        <w:rPr>
          <w:spacing w:val="-2"/>
          <w:sz w:val="20"/>
        </w:rPr>
      </w:pPr>
      <w:r w:rsidRPr="000206BE">
        <w:rPr>
          <w:spacing w:val="-2"/>
          <w:sz w:val="20"/>
        </w:rPr>
        <w:t xml:space="preserve">Cash payment of $40,000 on or before the 18-month </w:t>
      </w:r>
      <w:r w:rsidR="002B2AE6" w:rsidRPr="000206BE">
        <w:rPr>
          <w:spacing w:val="-2"/>
          <w:sz w:val="20"/>
        </w:rPr>
        <w:t>anniversary</w:t>
      </w:r>
      <w:r w:rsidR="002B2AE6">
        <w:rPr>
          <w:spacing w:val="-2"/>
          <w:sz w:val="20"/>
        </w:rPr>
        <w:t>;</w:t>
      </w:r>
      <w:r w:rsidRPr="000206BE">
        <w:rPr>
          <w:spacing w:val="-2"/>
          <w:sz w:val="20"/>
        </w:rPr>
        <w:t xml:space="preserve"> and,</w:t>
      </w:r>
    </w:p>
    <w:p w14:paraId="727D1404" w14:textId="3E9E0288" w:rsidR="00C522A3" w:rsidRDefault="00C522A3" w:rsidP="00C522A3">
      <w:pPr>
        <w:pStyle w:val="ListParagraph"/>
        <w:numPr>
          <w:ilvl w:val="0"/>
          <w:numId w:val="22"/>
        </w:numPr>
        <w:autoSpaceDE w:val="0"/>
        <w:autoSpaceDN w:val="0"/>
        <w:adjustRightInd w:val="0"/>
        <w:jc w:val="both"/>
        <w:rPr>
          <w:spacing w:val="-2"/>
          <w:sz w:val="20"/>
        </w:rPr>
      </w:pPr>
      <w:r w:rsidRPr="000206BE">
        <w:rPr>
          <w:spacing w:val="-2"/>
          <w:sz w:val="20"/>
        </w:rPr>
        <w:t>Cash payment of $100,000 on or before the 24-month anniversary.</w:t>
      </w:r>
    </w:p>
    <w:p w14:paraId="4ED3F432" w14:textId="3825E37D" w:rsidR="00C20776" w:rsidRPr="00C20776" w:rsidRDefault="00C20776" w:rsidP="000545C9">
      <w:pPr>
        <w:autoSpaceDE w:val="0"/>
        <w:autoSpaceDN w:val="0"/>
        <w:adjustRightInd w:val="0"/>
        <w:spacing w:before="120" w:after="120"/>
        <w:ind w:left="450"/>
        <w:jc w:val="both"/>
        <w:rPr>
          <w:spacing w:val="-2"/>
          <w:sz w:val="20"/>
        </w:rPr>
      </w:pPr>
      <w:r w:rsidRPr="000545C9">
        <w:rPr>
          <w:sz w:val="20"/>
        </w:rPr>
        <w:t xml:space="preserve">On February 6, 2020, the </w:t>
      </w:r>
      <w:r w:rsidR="000545C9" w:rsidRPr="000545C9">
        <w:rPr>
          <w:sz w:val="20"/>
        </w:rPr>
        <w:t>existing option agreement with respect to Higgins Brook Property was terminated. The Company will not</w:t>
      </w:r>
      <w:r w:rsidR="000545C9">
        <w:rPr>
          <w:spacing w:val="-2"/>
          <w:sz w:val="20"/>
        </w:rPr>
        <w:t xml:space="preserve"> make any further payments pursuant to the option agreement. </w:t>
      </w:r>
      <w:r w:rsidR="003952A9">
        <w:rPr>
          <w:spacing w:val="-2"/>
          <w:sz w:val="20"/>
        </w:rPr>
        <w:t>An impairment loss of $60,000 was recognized</w:t>
      </w:r>
      <w:r w:rsidR="002B2AE6">
        <w:rPr>
          <w:spacing w:val="-2"/>
          <w:sz w:val="20"/>
        </w:rPr>
        <w:t xml:space="preserve"> during the year ended March 31, 2020</w:t>
      </w:r>
      <w:r w:rsidR="003952A9">
        <w:rPr>
          <w:spacing w:val="-2"/>
          <w:sz w:val="20"/>
        </w:rPr>
        <w:t xml:space="preserve">. </w:t>
      </w:r>
    </w:p>
    <w:p w14:paraId="49E4C566" w14:textId="3E563A7E" w:rsidR="000545C9" w:rsidRPr="0052677E" w:rsidRDefault="000545C9" w:rsidP="0052677E">
      <w:pPr>
        <w:spacing w:after="120"/>
        <w:ind w:left="432"/>
        <w:jc w:val="both"/>
        <w:rPr>
          <w:sz w:val="20"/>
        </w:rPr>
      </w:pPr>
      <w:r>
        <w:rPr>
          <w:sz w:val="20"/>
        </w:rPr>
        <w:t xml:space="preserve">(ii) </w:t>
      </w:r>
      <w:proofErr w:type="spellStart"/>
      <w:r w:rsidRPr="0052677E">
        <w:rPr>
          <w:sz w:val="20"/>
        </w:rPr>
        <w:t>Killag</w:t>
      </w:r>
      <w:proofErr w:type="spellEnd"/>
      <w:r w:rsidRPr="0052677E">
        <w:rPr>
          <w:sz w:val="20"/>
        </w:rPr>
        <w:t xml:space="preserve"> Property</w:t>
      </w:r>
    </w:p>
    <w:p w14:paraId="18868D3B" w14:textId="0BBC378D" w:rsidR="00C522A3" w:rsidRPr="0052677E" w:rsidRDefault="00C522A3" w:rsidP="0052677E">
      <w:pPr>
        <w:spacing w:before="120" w:after="120"/>
        <w:ind w:left="432"/>
        <w:jc w:val="both"/>
        <w:rPr>
          <w:sz w:val="20"/>
        </w:rPr>
      </w:pPr>
      <w:r w:rsidRPr="0052677E">
        <w:rPr>
          <w:sz w:val="20"/>
        </w:rPr>
        <w:t>On August 10, 2018, the Company entered into an Option Agreement (“</w:t>
      </w:r>
      <w:proofErr w:type="spellStart"/>
      <w:r w:rsidRPr="0052677E">
        <w:rPr>
          <w:sz w:val="20"/>
        </w:rPr>
        <w:t>Killag</w:t>
      </w:r>
      <w:proofErr w:type="spellEnd"/>
      <w:r w:rsidRPr="0052677E">
        <w:rPr>
          <w:sz w:val="20"/>
        </w:rPr>
        <w:t xml:space="preserve"> Property”) to explore and develop three licenses located in Nova Scotia. The Company obtained an option to earn 100% interest subject to a 2% NSR royalty. The Company has the option to reduce the NSR royalty to 1% with a payment of $1,000,000.</w:t>
      </w:r>
    </w:p>
    <w:p w14:paraId="7184190F" w14:textId="77777777" w:rsidR="00C522A3" w:rsidRPr="0052677E" w:rsidRDefault="00C522A3" w:rsidP="0052677E">
      <w:pPr>
        <w:spacing w:before="120" w:after="120"/>
        <w:ind w:left="432"/>
        <w:jc w:val="both"/>
        <w:rPr>
          <w:sz w:val="20"/>
        </w:rPr>
      </w:pPr>
      <w:r w:rsidRPr="0052677E">
        <w:rPr>
          <w:sz w:val="20"/>
        </w:rPr>
        <w:t>To earn 100% interest, the Company is committed to make the following payments and expenditures:</w:t>
      </w:r>
    </w:p>
    <w:p w14:paraId="02449043" w14:textId="0665D586" w:rsidR="00C522A3" w:rsidRPr="00F362E9" w:rsidRDefault="00C522A3" w:rsidP="00F362E9">
      <w:pPr>
        <w:pStyle w:val="ListParagraph"/>
        <w:numPr>
          <w:ilvl w:val="0"/>
          <w:numId w:val="22"/>
        </w:numPr>
        <w:spacing w:before="120"/>
        <w:ind w:left="806"/>
        <w:jc w:val="both"/>
        <w:rPr>
          <w:sz w:val="20"/>
        </w:rPr>
      </w:pPr>
      <w:r w:rsidRPr="00F362E9">
        <w:rPr>
          <w:sz w:val="20"/>
        </w:rPr>
        <w:t xml:space="preserve">Cash payment of $7,500 within 10 business days of signing the </w:t>
      </w:r>
      <w:proofErr w:type="spellStart"/>
      <w:r w:rsidRPr="00F362E9">
        <w:rPr>
          <w:sz w:val="20"/>
        </w:rPr>
        <w:t>Killag</w:t>
      </w:r>
      <w:proofErr w:type="spellEnd"/>
      <w:r w:rsidRPr="00F362E9">
        <w:rPr>
          <w:sz w:val="20"/>
        </w:rPr>
        <w:t xml:space="preserve"> Property Option Agreement; (paid)</w:t>
      </w:r>
    </w:p>
    <w:p w14:paraId="1B5F10AA" w14:textId="74526789" w:rsidR="00C522A3" w:rsidRPr="00F362E9" w:rsidRDefault="00C522A3" w:rsidP="00F362E9">
      <w:pPr>
        <w:pStyle w:val="ListParagraph"/>
        <w:numPr>
          <w:ilvl w:val="0"/>
          <w:numId w:val="22"/>
        </w:numPr>
        <w:ind w:left="806"/>
        <w:jc w:val="both"/>
        <w:rPr>
          <w:sz w:val="20"/>
        </w:rPr>
      </w:pPr>
      <w:r w:rsidRPr="00F362E9">
        <w:rPr>
          <w:sz w:val="20"/>
        </w:rPr>
        <w:t>Cash payment of $30,000 on or before the 12-month anniversary</w:t>
      </w:r>
      <w:r w:rsidR="008927F8" w:rsidRPr="00F362E9">
        <w:rPr>
          <w:sz w:val="20"/>
        </w:rPr>
        <w:t xml:space="preserve"> (paid)</w:t>
      </w:r>
      <w:r w:rsidRPr="00F362E9">
        <w:rPr>
          <w:sz w:val="20"/>
        </w:rPr>
        <w:t>;</w:t>
      </w:r>
    </w:p>
    <w:p w14:paraId="290F17B0" w14:textId="6F17C9E3" w:rsidR="00C522A3" w:rsidRPr="000206BE" w:rsidRDefault="00C522A3" w:rsidP="00F362E9">
      <w:pPr>
        <w:pStyle w:val="ListParagraph"/>
        <w:numPr>
          <w:ilvl w:val="0"/>
          <w:numId w:val="22"/>
        </w:numPr>
        <w:autoSpaceDE w:val="0"/>
        <w:autoSpaceDN w:val="0"/>
        <w:adjustRightInd w:val="0"/>
        <w:ind w:left="806"/>
        <w:jc w:val="both"/>
        <w:rPr>
          <w:spacing w:val="-2"/>
          <w:sz w:val="20"/>
        </w:rPr>
      </w:pPr>
      <w:r w:rsidRPr="000206BE">
        <w:rPr>
          <w:spacing w:val="-2"/>
          <w:sz w:val="20"/>
        </w:rPr>
        <w:t>Cash payment of $30,000 on or before the 18-month anniversary</w:t>
      </w:r>
      <w:r w:rsidR="00424FE7">
        <w:rPr>
          <w:spacing w:val="-2"/>
          <w:sz w:val="20"/>
        </w:rPr>
        <w:t xml:space="preserve"> (paid)</w:t>
      </w:r>
      <w:r w:rsidRPr="000206BE">
        <w:rPr>
          <w:spacing w:val="-2"/>
          <w:sz w:val="20"/>
        </w:rPr>
        <w:t>; and,</w:t>
      </w:r>
    </w:p>
    <w:p w14:paraId="430C81D2" w14:textId="77777777" w:rsidR="00C522A3" w:rsidRPr="00AE6FCE" w:rsidRDefault="00C522A3" w:rsidP="00F362E9">
      <w:pPr>
        <w:pStyle w:val="ListParagraph"/>
        <w:numPr>
          <w:ilvl w:val="0"/>
          <w:numId w:val="22"/>
        </w:numPr>
        <w:autoSpaceDE w:val="0"/>
        <w:autoSpaceDN w:val="0"/>
        <w:adjustRightInd w:val="0"/>
        <w:ind w:left="806"/>
        <w:jc w:val="both"/>
        <w:rPr>
          <w:spacing w:val="-2"/>
          <w:sz w:val="20"/>
        </w:rPr>
      </w:pPr>
      <w:r w:rsidRPr="00AE6FCE">
        <w:rPr>
          <w:spacing w:val="-2"/>
          <w:sz w:val="20"/>
        </w:rPr>
        <w:t>Cash payment of $100,000 on or before the 24-month anniversary.</w:t>
      </w:r>
    </w:p>
    <w:p w14:paraId="63C097AF" w14:textId="0D0EBE55" w:rsidR="000545C9" w:rsidRPr="0052677E" w:rsidRDefault="000545C9" w:rsidP="000545C9">
      <w:pPr>
        <w:spacing w:before="120" w:after="120"/>
        <w:ind w:left="432"/>
        <w:jc w:val="both"/>
        <w:rPr>
          <w:sz w:val="20"/>
        </w:rPr>
      </w:pPr>
      <w:r>
        <w:rPr>
          <w:sz w:val="20"/>
        </w:rPr>
        <w:t xml:space="preserve">(iii) </w:t>
      </w:r>
      <w:r w:rsidRPr="0052677E">
        <w:rPr>
          <w:sz w:val="20"/>
        </w:rPr>
        <w:t>NS Option Agreement</w:t>
      </w:r>
    </w:p>
    <w:p w14:paraId="2C6EA1C9" w14:textId="5FE546D5" w:rsidR="00C522A3" w:rsidRDefault="00C522A3" w:rsidP="0052677E">
      <w:pPr>
        <w:spacing w:before="120" w:after="120"/>
        <w:ind w:left="432"/>
        <w:jc w:val="both"/>
        <w:rPr>
          <w:sz w:val="20"/>
        </w:rPr>
      </w:pPr>
      <w:r w:rsidRPr="0052677E">
        <w:rPr>
          <w:sz w:val="20"/>
        </w:rPr>
        <w:t xml:space="preserve">On September 11, 2018, the Company entered into an option agreement (“NS Option Agreement”) to explore </w:t>
      </w:r>
      <w:r w:rsidRPr="0052677E">
        <w:rPr>
          <w:sz w:val="20"/>
        </w:rPr>
        <w:lastRenderedPageBreak/>
        <w:t xml:space="preserve">and develop licenses located in Nova Scotia. The Company obtained an option to earn 100% interest subject to a 2% NSR. The </w:t>
      </w:r>
      <w:r w:rsidR="00931268" w:rsidRPr="0052677E">
        <w:rPr>
          <w:sz w:val="20"/>
        </w:rPr>
        <w:t>C</w:t>
      </w:r>
      <w:r w:rsidRPr="0052677E">
        <w:rPr>
          <w:sz w:val="20"/>
        </w:rPr>
        <w:t>ompany has the option to reduce the NSR royalty to 1% with a payment of $1,000,000.</w:t>
      </w:r>
    </w:p>
    <w:p w14:paraId="69EB4371" w14:textId="77777777" w:rsidR="00285908" w:rsidRDefault="00285908" w:rsidP="00285908">
      <w:pPr>
        <w:autoSpaceDE w:val="0"/>
        <w:autoSpaceDN w:val="0"/>
        <w:adjustRightInd w:val="0"/>
        <w:ind w:left="425" w:hanging="425"/>
        <w:jc w:val="both"/>
        <w:rPr>
          <w:b/>
          <w:spacing w:val="-2"/>
          <w:sz w:val="20"/>
        </w:rPr>
      </w:pPr>
      <w:r w:rsidRPr="0052677E">
        <w:rPr>
          <w:b/>
          <w:spacing w:val="-2"/>
          <w:sz w:val="20"/>
        </w:rPr>
        <w:t>4.</w:t>
      </w:r>
      <w:r w:rsidRPr="0052677E">
        <w:rPr>
          <w:b/>
          <w:spacing w:val="-2"/>
          <w:sz w:val="20"/>
        </w:rPr>
        <w:tab/>
        <w:t>Exploration and evaluation assets (</w:t>
      </w:r>
      <w:r>
        <w:rPr>
          <w:b/>
          <w:spacing w:val="-2"/>
          <w:sz w:val="20"/>
        </w:rPr>
        <w:t>c</w:t>
      </w:r>
      <w:r w:rsidRPr="0052677E">
        <w:rPr>
          <w:b/>
          <w:spacing w:val="-2"/>
          <w:sz w:val="20"/>
        </w:rPr>
        <w:t>ontinued)</w:t>
      </w:r>
    </w:p>
    <w:p w14:paraId="01873639" w14:textId="77777777" w:rsidR="00285908" w:rsidRPr="0052677E" w:rsidRDefault="00285908" w:rsidP="00285908">
      <w:pPr>
        <w:autoSpaceDE w:val="0"/>
        <w:autoSpaceDN w:val="0"/>
        <w:adjustRightInd w:val="0"/>
        <w:ind w:left="425" w:hanging="425"/>
        <w:jc w:val="both"/>
        <w:rPr>
          <w:b/>
          <w:spacing w:val="-2"/>
          <w:sz w:val="20"/>
        </w:rPr>
      </w:pPr>
    </w:p>
    <w:p w14:paraId="3B37D8F6" w14:textId="77777777" w:rsidR="00285908" w:rsidRPr="0052677E" w:rsidRDefault="00285908" w:rsidP="00285908">
      <w:pPr>
        <w:widowControl/>
        <w:tabs>
          <w:tab w:val="left" w:pos="900"/>
        </w:tabs>
        <w:suppressAutoHyphens/>
        <w:overflowPunct w:val="0"/>
        <w:autoSpaceDE w:val="0"/>
        <w:autoSpaceDN w:val="0"/>
        <w:adjustRightInd w:val="0"/>
        <w:spacing w:after="120"/>
        <w:ind w:left="450"/>
        <w:jc w:val="both"/>
        <w:textAlignment w:val="baseline"/>
        <w:rPr>
          <w:b/>
          <w:spacing w:val="-3"/>
          <w:sz w:val="20"/>
        </w:rPr>
      </w:pPr>
      <w:r w:rsidRPr="0052677E">
        <w:rPr>
          <w:b/>
          <w:spacing w:val="-3"/>
          <w:sz w:val="20"/>
        </w:rPr>
        <w:t>Acquisition of Additional Mineral Licenses (</w:t>
      </w:r>
      <w:r>
        <w:rPr>
          <w:b/>
          <w:spacing w:val="-3"/>
          <w:sz w:val="20"/>
        </w:rPr>
        <w:t>c</w:t>
      </w:r>
      <w:r w:rsidRPr="0052677E">
        <w:rPr>
          <w:b/>
          <w:spacing w:val="-3"/>
          <w:sz w:val="20"/>
        </w:rPr>
        <w:t>ontinued)</w:t>
      </w:r>
    </w:p>
    <w:p w14:paraId="688B2E4E" w14:textId="77777777" w:rsidR="00285908" w:rsidRPr="0052677E" w:rsidRDefault="00285908" w:rsidP="00285908">
      <w:pPr>
        <w:spacing w:after="120"/>
        <w:ind w:left="432"/>
        <w:jc w:val="both"/>
        <w:rPr>
          <w:sz w:val="20"/>
        </w:rPr>
      </w:pPr>
      <w:r w:rsidRPr="000545C9">
        <w:rPr>
          <w:sz w:val="20"/>
        </w:rPr>
        <w:t xml:space="preserve"> </w:t>
      </w:r>
      <w:r w:rsidRPr="0052677E">
        <w:rPr>
          <w:sz w:val="20"/>
        </w:rPr>
        <w:t>Option Agreements</w:t>
      </w:r>
      <w:r>
        <w:rPr>
          <w:sz w:val="20"/>
        </w:rPr>
        <w:t xml:space="preserve"> (continued)</w:t>
      </w:r>
      <w:r w:rsidRPr="0052677E">
        <w:rPr>
          <w:sz w:val="20"/>
        </w:rPr>
        <w:t>:</w:t>
      </w:r>
    </w:p>
    <w:p w14:paraId="44EC9403" w14:textId="0CECB15C" w:rsidR="00285908" w:rsidRPr="0052677E" w:rsidRDefault="00285908" w:rsidP="00285908">
      <w:pPr>
        <w:spacing w:before="120" w:after="120"/>
        <w:ind w:left="432"/>
        <w:jc w:val="both"/>
        <w:rPr>
          <w:sz w:val="20"/>
        </w:rPr>
      </w:pPr>
      <w:r>
        <w:rPr>
          <w:sz w:val="20"/>
        </w:rPr>
        <w:t xml:space="preserve">(iii) </w:t>
      </w:r>
      <w:r w:rsidRPr="0052677E">
        <w:rPr>
          <w:sz w:val="20"/>
        </w:rPr>
        <w:t>NS Option Agreement</w:t>
      </w:r>
      <w:r>
        <w:rPr>
          <w:sz w:val="20"/>
        </w:rPr>
        <w:t xml:space="preserve"> (continued)</w:t>
      </w:r>
    </w:p>
    <w:p w14:paraId="04E0FDD0" w14:textId="77777777" w:rsidR="00C522A3" w:rsidRPr="0052677E" w:rsidRDefault="00C522A3" w:rsidP="0052677E">
      <w:pPr>
        <w:spacing w:after="120"/>
        <w:ind w:left="432"/>
        <w:jc w:val="both"/>
        <w:rPr>
          <w:sz w:val="20"/>
        </w:rPr>
      </w:pPr>
      <w:r w:rsidRPr="0052677E">
        <w:rPr>
          <w:sz w:val="20"/>
        </w:rPr>
        <w:t>To earn 100% interest, the Company is committed to make the following payments and expenditures:</w:t>
      </w:r>
    </w:p>
    <w:p w14:paraId="2CD0589A" w14:textId="77777777" w:rsidR="00C522A3" w:rsidRPr="000206BE" w:rsidRDefault="00C522A3" w:rsidP="00C522A3">
      <w:pPr>
        <w:pStyle w:val="ListParagraph"/>
        <w:numPr>
          <w:ilvl w:val="0"/>
          <w:numId w:val="22"/>
        </w:numPr>
        <w:autoSpaceDE w:val="0"/>
        <w:autoSpaceDN w:val="0"/>
        <w:adjustRightInd w:val="0"/>
        <w:jc w:val="both"/>
        <w:rPr>
          <w:spacing w:val="-2"/>
          <w:sz w:val="20"/>
        </w:rPr>
      </w:pPr>
      <w:r w:rsidRPr="000206BE">
        <w:rPr>
          <w:spacing w:val="-2"/>
          <w:sz w:val="20"/>
        </w:rPr>
        <w:t>Cash payment of $5,000 within 14 business days of signing the NS Option Agreement; (paid)</w:t>
      </w:r>
    </w:p>
    <w:p w14:paraId="4FE3E52F" w14:textId="77777777" w:rsidR="00C522A3" w:rsidRPr="000206BE" w:rsidRDefault="00C522A3" w:rsidP="00C522A3">
      <w:pPr>
        <w:pStyle w:val="ListParagraph"/>
        <w:numPr>
          <w:ilvl w:val="0"/>
          <w:numId w:val="22"/>
        </w:numPr>
        <w:autoSpaceDE w:val="0"/>
        <w:autoSpaceDN w:val="0"/>
        <w:adjustRightInd w:val="0"/>
        <w:jc w:val="both"/>
        <w:rPr>
          <w:spacing w:val="-2"/>
          <w:sz w:val="20"/>
        </w:rPr>
      </w:pPr>
      <w:r w:rsidRPr="000206BE">
        <w:rPr>
          <w:spacing w:val="-2"/>
          <w:sz w:val="20"/>
        </w:rPr>
        <w:t>Cash payment of $15,000 on or before the 12-month anniversary;</w:t>
      </w:r>
    </w:p>
    <w:p w14:paraId="74DC22B9" w14:textId="77777777" w:rsidR="00C522A3" w:rsidRPr="000206BE" w:rsidRDefault="00C522A3" w:rsidP="00C522A3">
      <w:pPr>
        <w:pStyle w:val="ListParagraph"/>
        <w:numPr>
          <w:ilvl w:val="0"/>
          <w:numId w:val="22"/>
        </w:numPr>
        <w:autoSpaceDE w:val="0"/>
        <w:autoSpaceDN w:val="0"/>
        <w:adjustRightInd w:val="0"/>
        <w:jc w:val="both"/>
        <w:rPr>
          <w:spacing w:val="-2"/>
          <w:sz w:val="20"/>
        </w:rPr>
      </w:pPr>
      <w:r w:rsidRPr="000206BE">
        <w:rPr>
          <w:spacing w:val="-2"/>
          <w:sz w:val="20"/>
        </w:rPr>
        <w:t>Cash payment of $20,000 on or before the 18-month anniversary; and,</w:t>
      </w:r>
    </w:p>
    <w:p w14:paraId="3C2D0D91" w14:textId="77777777" w:rsidR="00C522A3" w:rsidRPr="000206BE" w:rsidRDefault="00C522A3" w:rsidP="00C522A3">
      <w:pPr>
        <w:pStyle w:val="ListParagraph"/>
        <w:numPr>
          <w:ilvl w:val="0"/>
          <w:numId w:val="22"/>
        </w:numPr>
        <w:autoSpaceDE w:val="0"/>
        <w:autoSpaceDN w:val="0"/>
        <w:adjustRightInd w:val="0"/>
        <w:jc w:val="both"/>
        <w:rPr>
          <w:spacing w:val="-2"/>
          <w:sz w:val="20"/>
        </w:rPr>
      </w:pPr>
      <w:r w:rsidRPr="000206BE">
        <w:rPr>
          <w:spacing w:val="-2"/>
          <w:sz w:val="20"/>
        </w:rPr>
        <w:t>Cash payment of $100,000 on or before the 24-month anniversary.</w:t>
      </w:r>
    </w:p>
    <w:p w14:paraId="6A8BCE3B" w14:textId="5151ECEA" w:rsidR="00C97728" w:rsidRDefault="00C97728" w:rsidP="002B2AE6">
      <w:pPr>
        <w:spacing w:before="120" w:after="120"/>
        <w:ind w:left="432"/>
        <w:jc w:val="both"/>
        <w:rPr>
          <w:sz w:val="20"/>
        </w:rPr>
      </w:pPr>
      <w:r>
        <w:rPr>
          <w:sz w:val="20"/>
        </w:rPr>
        <w:t>During the year ended March 31,2020</w:t>
      </w:r>
      <w:r w:rsidRPr="00C97728">
        <w:rPr>
          <w:sz w:val="20"/>
        </w:rPr>
        <w:t xml:space="preserve">, the existing option agreement was terminated. The Company will not make any further payments pursuant to the option agreement. </w:t>
      </w:r>
      <w:r w:rsidR="003952A9" w:rsidRPr="002B2AE6">
        <w:rPr>
          <w:sz w:val="20"/>
        </w:rPr>
        <w:t>An impairment loss of $</w:t>
      </w:r>
      <w:r w:rsidR="00F70B5F" w:rsidRPr="002B2AE6">
        <w:rPr>
          <w:sz w:val="20"/>
        </w:rPr>
        <w:t>5</w:t>
      </w:r>
      <w:r w:rsidR="003952A9" w:rsidRPr="002B2AE6">
        <w:rPr>
          <w:sz w:val="20"/>
        </w:rPr>
        <w:t>,000 was recognized</w:t>
      </w:r>
      <w:r w:rsidR="002B2AE6" w:rsidRPr="002B2AE6">
        <w:rPr>
          <w:sz w:val="20"/>
        </w:rPr>
        <w:t xml:space="preserve"> during the year ended March 31, 2020</w:t>
      </w:r>
      <w:r w:rsidR="003952A9" w:rsidRPr="002B2AE6">
        <w:rPr>
          <w:sz w:val="20"/>
        </w:rPr>
        <w:t xml:space="preserve">. </w:t>
      </w:r>
    </w:p>
    <w:p w14:paraId="2108C0A8" w14:textId="58ED48C2" w:rsidR="000545C9" w:rsidRPr="000545C9" w:rsidRDefault="000545C9" w:rsidP="00A10BEB">
      <w:pPr>
        <w:spacing w:before="120" w:after="120"/>
        <w:ind w:left="432"/>
        <w:jc w:val="both"/>
        <w:rPr>
          <w:sz w:val="20"/>
        </w:rPr>
      </w:pPr>
      <w:r w:rsidRPr="000545C9">
        <w:rPr>
          <w:sz w:val="20"/>
        </w:rPr>
        <w:t xml:space="preserve">(iii) </w:t>
      </w:r>
      <w:proofErr w:type="spellStart"/>
      <w:r>
        <w:rPr>
          <w:sz w:val="20"/>
        </w:rPr>
        <w:t>Ecum</w:t>
      </w:r>
      <w:proofErr w:type="spellEnd"/>
      <w:r>
        <w:rPr>
          <w:sz w:val="20"/>
        </w:rPr>
        <w:t xml:space="preserve"> </w:t>
      </w:r>
      <w:proofErr w:type="spellStart"/>
      <w:r>
        <w:rPr>
          <w:sz w:val="20"/>
        </w:rPr>
        <w:t>Secum</w:t>
      </w:r>
      <w:proofErr w:type="spellEnd"/>
      <w:r w:rsidRPr="000545C9">
        <w:rPr>
          <w:sz w:val="20"/>
        </w:rPr>
        <w:t xml:space="preserve"> Option Agreement</w:t>
      </w:r>
    </w:p>
    <w:p w14:paraId="5A12292D" w14:textId="0B13EC06" w:rsidR="003A58B0" w:rsidRPr="00C97728" w:rsidRDefault="003A58B0" w:rsidP="00C97728">
      <w:pPr>
        <w:autoSpaceDE w:val="0"/>
        <w:autoSpaceDN w:val="0"/>
        <w:adjustRightInd w:val="0"/>
        <w:spacing w:before="120" w:after="120"/>
        <w:ind w:left="450"/>
        <w:jc w:val="both"/>
        <w:rPr>
          <w:sz w:val="20"/>
        </w:rPr>
      </w:pPr>
      <w:r w:rsidRPr="00C97728">
        <w:rPr>
          <w:sz w:val="20"/>
        </w:rPr>
        <w:t xml:space="preserve">On May 8, 2019, the Company entered into a Land Access Agreement (“Land Access”) to explore certain licenses in the </w:t>
      </w:r>
      <w:proofErr w:type="spellStart"/>
      <w:r w:rsidRPr="00C97728">
        <w:rPr>
          <w:sz w:val="20"/>
        </w:rPr>
        <w:t>Ecum</w:t>
      </w:r>
      <w:proofErr w:type="spellEnd"/>
      <w:r w:rsidRPr="00C97728">
        <w:rPr>
          <w:sz w:val="20"/>
        </w:rPr>
        <w:t xml:space="preserve"> </w:t>
      </w:r>
      <w:proofErr w:type="spellStart"/>
      <w:r w:rsidRPr="00C97728">
        <w:rPr>
          <w:sz w:val="20"/>
        </w:rPr>
        <w:t>Secum</w:t>
      </w:r>
      <w:proofErr w:type="spellEnd"/>
      <w:r w:rsidRPr="00C97728">
        <w:rPr>
          <w:sz w:val="20"/>
        </w:rPr>
        <w:t xml:space="preserve"> area of Halifax, Nova Scotia. As consideration, the Company paid $3,500</w:t>
      </w:r>
      <w:r w:rsidR="00424FE7" w:rsidRPr="00C97728">
        <w:rPr>
          <w:sz w:val="20"/>
        </w:rPr>
        <w:t xml:space="preserve"> (paid)</w:t>
      </w:r>
      <w:r w:rsidRPr="00C97728">
        <w:rPr>
          <w:sz w:val="20"/>
        </w:rPr>
        <w:t>.</w:t>
      </w:r>
    </w:p>
    <w:p w14:paraId="3CBECD1E" w14:textId="120A87DA" w:rsidR="000545C9" w:rsidRDefault="00C97728" w:rsidP="003952A9">
      <w:pPr>
        <w:autoSpaceDE w:val="0"/>
        <w:autoSpaceDN w:val="0"/>
        <w:adjustRightInd w:val="0"/>
        <w:spacing w:before="120" w:after="120"/>
        <w:ind w:left="450"/>
        <w:jc w:val="both"/>
        <w:rPr>
          <w:sz w:val="20"/>
        </w:rPr>
      </w:pPr>
      <w:r>
        <w:rPr>
          <w:sz w:val="20"/>
        </w:rPr>
        <w:t>During the year ended March 31,2020</w:t>
      </w:r>
      <w:r w:rsidRPr="00C97728">
        <w:rPr>
          <w:sz w:val="20"/>
        </w:rPr>
        <w:t>, the existing option agreement</w:t>
      </w:r>
      <w:r w:rsidR="00CF63FF">
        <w:rPr>
          <w:sz w:val="20"/>
        </w:rPr>
        <w:t xml:space="preserve"> </w:t>
      </w:r>
      <w:r w:rsidRPr="00C97728">
        <w:rPr>
          <w:sz w:val="20"/>
        </w:rPr>
        <w:t xml:space="preserve">was terminated. The Company will not make any further payments pursuant to the option agreement. </w:t>
      </w:r>
      <w:r w:rsidR="003952A9" w:rsidRPr="003952A9">
        <w:rPr>
          <w:sz w:val="20"/>
        </w:rPr>
        <w:t>An impairment loss of $</w:t>
      </w:r>
      <w:r w:rsidR="003952A9">
        <w:rPr>
          <w:sz w:val="20"/>
        </w:rPr>
        <w:t>3</w:t>
      </w:r>
      <w:r w:rsidR="003952A9" w:rsidRPr="003952A9">
        <w:rPr>
          <w:sz w:val="20"/>
        </w:rPr>
        <w:t>,</w:t>
      </w:r>
      <w:r w:rsidR="003952A9">
        <w:rPr>
          <w:sz w:val="20"/>
        </w:rPr>
        <w:t>5</w:t>
      </w:r>
      <w:r w:rsidR="003952A9" w:rsidRPr="003952A9">
        <w:rPr>
          <w:sz w:val="20"/>
        </w:rPr>
        <w:t>00 was recognized</w:t>
      </w:r>
      <w:r w:rsidR="002B2AE6">
        <w:rPr>
          <w:sz w:val="20"/>
        </w:rPr>
        <w:t xml:space="preserve"> during the year ended March 31, 2020</w:t>
      </w:r>
      <w:r w:rsidR="003952A9" w:rsidRPr="003952A9">
        <w:rPr>
          <w:sz w:val="20"/>
        </w:rPr>
        <w:t xml:space="preserve">. </w:t>
      </w:r>
    </w:p>
    <w:p w14:paraId="4F75C21D" w14:textId="6BD91A27" w:rsidR="000545C9" w:rsidRPr="000545C9" w:rsidRDefault="00A10BEB" w:rsidP="000545C9">
      <w:pPr>
        <w:spacing w:before="120" w:after="120"/>
        <w:ind w:left="432"/>
        <w:jc w:val="both"/>
        <w:rPr>
          <w:sz w:val="20"/>
        </w:rPr>
      </w:pPr>
      <w:r w:rsidRPr="000545C9">
        <w:rPr>
          <w:sz w:val="20"/>
        </w:rPr>
        <w:t xml:space="preserve"> </w:t>
      </w:r>
      <w:r w:rsidR="000545C9" w:rsidRPr="000545C9">
        <w:rPr>
          <w:sz w:val="20"/>
        </w:rPr>
        <w:t>(i</w:t>
      </w:r>
      <w:r w:rsidR="000545C9">
        <w:rPr>
          <w:sz w:val="20"/>
        </w:rPr>
        <w:t>v</w:t>
      </w:r>
      <w:r w:rsidR="000545C9" w:rsidRPr="000545C9">
        <w:rPr>
          <w:sz w:val="20"/>
        </w:rPr>
        <w:t xml:space="preserve">) </w:t>
      </w:r>
      <w:r w:rsidR="000545C9">
        <w:rPr>
          <w:sz w:val="20"/>
        </w:rPr>
        <w:t>Genius</w:t>
      </w:r>
      <w:r w:rsidR="000545C9" w:rsidRPr="000545C9">
        <w:rPr>
          <w:sz w:val="20"/>
        </w:rPr>
        <w:t xml:space="preserve"> Option Agreement</w:t>
      </w:r>
    </w:p>
    <w:p w14:paraId="6820A3BA" w14:textId="21DDABA8" w:rsidR="00962605" w:rsidRPr="0052677E" w:rsidRDefault="00962605" w:rsidP="0052677E">
      <w:pPr>
        <w:spacing w:after="120"/>
        <w:ind w:left="432"/>
        <w:jc w:val="both"/>
        <w:rPr>
          <w:sz w:val="20"/>
        </w:rPr>
      </w:pPr>
      <w:r w:rsidRPr="0052677E">
        <w:rPr>
          <w:sz w:val="20"/>
        </w:rPr>
        <w:t>On December 4, 2019, the Company entered into an option agreement (“Genius Option Agreement”) to explore and develop licenses 6 licenses covering 1,620 hectares in Nova Scotia (“Property”).  The Genius Option Agreement allows the Company to earn up to a 70% interest in 6 mining exploration licenses by satisfying the following conditions:</w:t>
      </w:r>
    </w:p>
    <w:p w14:paraId="7F9ECC69" w14:textId="0CD47A88" w:rsidR="00962605" w:rsidRPr="002B2AE6" w:rsidRDefault="00962605" w:rsidP="00962605">
      <w:pPr>
        <w:pStyle w:val="ListParagraph"/>
        <w:widowControl/>
        <w:numPr>
          <w:ilvl w:val="0"/>
          <w:numId w:val="22"/>
        </w:numPr>
        <w:rPr>
          <w:spacing w:val="-2"/>
          <w:sz w:val="20"/>
        </w:rPr>
      </w:pPr>
      <w:r>
        <w:rPr>
          <w:spacing w:val="-2"/>
          <w:sz w:val="20"/>
        </w:rPr>
        <w:t>Issue 250,000 common shares within 10 business days of signing the Genius Option Agreement (Issue</w:t>
      </w:r>
      <w:r w:rsidR="00281D1B">
        <w:rPr>
          <w:spacing w:val="-2"/>
          <w:sz w:val="20"/>
        </w:rPr>
        <w:t>d</w:t>
      </w:r>
      <w:r>
        <w:rPr>
          <w:spacing w:val="-2"/>
          <w:sz w:val="20"/>
        </w:rPr>
        <w:t>)</w:t>
      </w:r>
      <w:r w:rsidR="00C75E33" w:rsidRPr="002B2AE6">
        <w:rPr>
          <w:spacing w:val="-2"/>
          <w:sz w:val="20"/>
        </w:rPr>
        <w:t xml:space="preserve"> (Note 7)</w:t>
      </w:r>
      <w:r w:rsidR="003D657F" w:rsidRPr="002B2AE6">
        <w:rPr>
          <w:spacing w:val="-2"/>
          <w:sz w:val="20"/>
        </w:rPr>
        <w:t xml:space="preserve"> </w:t>
      </w:r>
      <w:r w:rsidR="002B2AE6" w:rsidRPr="002B2AE6">
        <w:rPr>
          <w:spacing w:val="-2"/>
          <w:sz w:val="20"/>
        </w:rPr>
        <w:t>with a</w:t>
      </w:r>
      <w:r w:rsidR="003D657F" w:rsidRPr="002B2AE6">
        <w:rPr>
          <w:spacing w:val="-2"/>
          <w:sz w:val="20"/>
        </w:rPr>
        <w:t xml:space="preserve"> fair value of $41,250</w:t>
      </w:r>
      <w:r w:rsidR="001C6EF4" w:rsidRPr="002B2AE6">
        <w:rPr>
          <w:spacing w:val="-2"/>
          <w:sz w:val="20"/>
        </w:rPr>
        <w:t xml:space="preserve">. </w:t>
      </w:r>
      <w:r w:rsidR="002B2AE6" w:rsidRPr="002B2AE6">
        <w:rPr>
          <w:spacing w:val="-2"/>
          <w:sz w:val="20"/>
        </w:rPr>
        <w:t>Of the total shares issued, 125,000 common shares will be</w:t>
      </w:r>
      <w:r w:rsidR="001C6EF4" w:rsidRPr="002B2AE6">
        <w:rPr>
          <w:spacing w:val="-2"/>
          <w:sz w:val="20"/>
        </w:rPr>
        <w:t xml:space="preserve"> </w:t>
      </w:r>
      <w:r w:rsidR="00E419EE">
        <w:rPr>
          <w:spacing w:val="-2"/>
          <w:sz w:val="20"/>
        </w:rPr>
        <w:t xml:space="preserve">held </w:t>
      </w:r>
      <w:r w:rsidR="001C6EF4" w:rsidRPr="002B2AE6">
        <w:rPr>
          <w:spacing w:val="-2"/>
          <w:sz w:val="20"/>
        </w:rPr>
        <w:t>in escrow and will be released on December 4, 2020</w:t>
      </w:r>
      <w:r>
        <w:rPr>
          <w:spacing w:val="-2"/>
          <w:sz w:val="20"/>
        </w:rPr>
        <w:t>;</w:t>
      </w:r>
    </w:p>
    <w:p w14:paraId="0A14D68D" w14:textId="3C5E3C9A" w:rsidR="00962605" w:rsidRPr="00DD6B3F" w:rsidRDefault="00962605" w:rsidP="00962605">
      <w:pPr>
        <w:pStyle w:val="ListParagraph"/>
        <w:widowControl/>
        <w:numPr>
          <w:ilvl w:val="0"/>
          <w:numId w:val="22"/>
        </w:numPr>
        <w:rPr>
          <w:b/>
          <w:spacing w:val="-2"/>
          <w:sz w:val="20"/>
        </w:rPr>
      </w:pPr>
      <w:r>
        <w:rPr>
          <w:spacing w:val="-2"/>
          <w:sz w:val="20"/>
        </w:rPr>
        <w:t>Earn 49.9% interest upon incurring $100,000 in exploration work consisting of ground surveys and pre-drilling target work on or before the 18</w:t>
      </w:r>
      <w:r w:rsidR="00AE6FCE">
        <w:rPr>
          <w:spacing w:val="-2"/>
          <w:sz w:val="20"/>
        </w:rPr>
        <w:t>-</w:t>
      </w:r>
      <w:r>
        <w:rPr>
          <w:spacing w:val="-2"/>
          <w:sz w:val="20"/>
          <w:vertAlign w:val="superscript"/>
        </w:rPr>
        <w:t xml:space="preserve"> </w:t>
      </w:r>
      <w:r>
        <w:rPr>
          <w:spacing w:val="-2"/>
          <w:sz w:val="20"/>
        </w:rPr>
        <w:t>month anniversary;</w:t>
      </w:r>
    </w:p>
    <w:p w14:paraId="5C77A32E" w14:textId="209CB1F9" w:rsidR="00962605" w:rsidRPr="00DD6B3F" w:rsidRDefault="00962605" w:rsidP="00962605">
      <w:pPr>
        <w:pStyle w:val="ListParagraph"/>
        <w:widowControl/>
        <w:numPr>
          <w:ilvl w:val="0"/>
          <w:numId w:val="22"/>
        </w:numPr>
        <w:rPr>
          <w:b/>
          <w:spacing w:val="-2"/>
          <w:sz w:val="20"/>
        </w:rPr>
      </w:pPr>
      <w:r>
        <w:rPr>
          <w:spacing w:val="-2"/>
          <w:sz w:val="20"/>
        </w:rPr>
        <w:t xml:space="preserve">Earn 20.1% interest upon incurring $150,000 in exploration work, including a diamond drilling program on or before the </w:t>
      </w:r>
      <w:r w:rsidR="00AE6FCE">
        <w:rPr>
          <w:spacing w:val="-2"/>
          <w:sz w:val="20"/>
        </w:rPr>
        <w:t>30-month</w:t>
      </w:r>
      <w:r>
        <w:rPr>
          <w:spacing w:val="-2"/>
          <w:sz w:val="20"/>
        </w:rPr>
        <w:t xml:space="preserve"> anniversary.</w:t>
      </w:r>
    </w:p>
    <w:p w14:paraId="3BA33D34" w14:textId="4EBE8216" w:rsidR="003A58B0" w:rsidRPr="0052677E" w:rsidRDefault="00962605" w:rsidP="0052677E">
      <w:pPr>
        <w:spacing w:before="120" w:after="120"/>
        <w:ind w:left="432"/>
        <w:jc w:val="both"/>
        <w:rPr>
          <w:sz w:val="20"/>
        </w:rPr>
      </w:pPr>
      <w:r w:rsidRPr="0052677E">
        <w:rPr>
          <w:sz w:val="20"/>
        </w:rPr>
        <w:t>Upon exercising the Genius Option Agreement in its entirety and earning 70% of the Property, Genius will have the option to convert the remaining 30% interest in the Property, into a 2% net smelter royalty.</w:t>
      </w:r>
    </w:p>
    <w:p w14:paraId="7F2E7DE0" w14:textId="01B46F96" w:rsidR="0000272E" w:rsidRPr="0052677E" w:rsidRDefault="0000272E" w:rsidP="0052677E">
      <w:pPr>
        <w:widowControl/>
        <w:tabs>
          <w:tab w:val="left" w:pos="900"/>
        </w:tabs>
        <w:suppressAutoHyphens/>
        <w:overflowPunct w:val="0"/>
        <w:autoSpaceDE w:val="0"/>
        <w:autoSpaceDN w:val="0"/>
        <w:adjustRightInd w:val="0"/>
        <w:spacing w:after="120"/>
        <w:ind w:left="450"/>
        <w:jc w:val="both"/>
        <w:textAlignment w:val="baseline"/>
        <w:rPr>
          <w:b/>
          <w:spacing w:val="-3"/>
          <w:sz w:val="20"/>
        </w:rPr>
      </w:pPr>
      <w:r w:rsidRPr="0052677E">
        <w:rPr>
          <w:b/>
          <w:spacing w:val="-3"/>
          <w:sz w:val="20"/>
        </w:rPr>
        <w:t>Cariboo</w:t>
      </w:r>
      <w:r w:rsidR="001619AE" w:rsidRPr="0052677E">
        <w:rPr>
          <w:b/>
          <w:spacing w:val="-3"/>
          <w:sz w:val="20"/>
        </w:rPr>
        <w:t xml:space="preserve"> Project</w:t>
      </w:r>
      <w:r w:rsidRPr="0052677E">
        <w:rPr>
          <w:b/>
          <w:spacing w:val="-3"/>
          <w:sz w:val="20"/>
        </w:rPr>
        <w:t xml:space="preserve"> </w:t>
      </w:r>
    </w:p>
    <w:p w14:paraId="546E3C2C" w14:textId="77777777" w:rsidR="00C568C1" w:rsidRPr="0052677E" w:rsidRDefault="00C568C1" w:rsidP="0052677E">
      <w:pPr>
        <w:spacing w:before="120" w:after="120"/>
        <w:ind w:left="432"/>
        <w:jc w:val="both"/>
        <w:rPr>
          <w:sz w:val="20"/>
        </w:rPr>
      </w:pPr>
      <w:r w:rsidRPr="0052677E">
        <w:rPr>
          <w:sz w:val="20"/>
        </w:rPr>
        <w:t>On May 16, 2018, the Company closed the acquisition of 1161097 B.C. Ltd. (“116”) by way of a three-corner amalgamation</w:t>
      </w:r>
      <w:r w:rsidR="00115BEF" w:rsidRPr="0052677E">
        <w:rPr>
          <w:sz w:val="20"/>
        </w:rPr>
        <w:t xml:space="preserve"> with </w:t>
      </w:r>
      <w:r w:rsidR="00F0093A" w:rsidRPr="0052677E">
        <w:rPr>
          <w:sz w:val="20"/>
        </w:rPr>
        <w:t>1156219</w:t>
      </w:r>
      <w:r w:rsidR="00115BEF" w:rsidRPr="0052677E">
        <w:rPr>
          <w:sz w:val="20"/>
        </w:rPr>
        <w:t xml:space="preserve"> B.C. Ltd</w:t>
      </w:r>
      <w:r w:rsidR="00F0093A" w:rsidRPr="0052677E">
        <w:rPr>
          <w:sz w:val="20"/>
        </w:rPr>
        <w:t>, a wholly owned subsidiary of the Company</w:t>
      </w:r>
      <w:r w:rsidRPr="0052677E">
        <w:rPr>
          <w:sz w:val="20"/>
        </w:rPr>
        <w:t>. Under the terms of the definitive acquisition agreement (the “116 Agreement”), the Company acquired 100% of 116 and assumed all of its existing assets and underlying agreements at present, including:</w:t>
      </w:r>
    </w:p>
    <w:p w14:paraId="444EBFA9" w14:textId="34BBBB72" w:rsidR="00C568C1" w:rsidRPr="000206BE" w:rsidRDefault="00C568C1" w:rsidP="0023224B">
      <w:pPr>
        <w:pStyle w:val="ListParagraph"/>
        <w:widowControl/>
        <w:numPr>
          <w:ilvl w:val="0"/>
          <w:numId w:val="22"/>
        </w:numPr>
        <w:rPr>
          <w:spacing w:val="-2"/>
          <w:sz w:val="20"/>
        </w:rPr>
      </w:pPr>
      <w:r w:rsidRPr="000206BE">
        <w:rPr>
          <w:spacing w:val="-2"/>
          <w:sz w:val="20"/>
        </w:rPr>
        <w:t xml:space="preserve">100% ownership of the Cariboo Gold Project; </w:t>
      </w:r>
    </w:p>
    <w:p w14:paraId="1C1B99E7" w14:textId="6813E141" w:rsidR="00C568C1" w:rsidRPr="000206BE" w:rsidRDefault="00C568C1" w:rsidP="0023224B">
      <w:pPr>
        <w:pStyle w:val="ListParagraph"/>
        <w:widowControl/>
        <w:numPr>
          <w:ilvl w:val="0"/>
          <w:numId w:val="22"/>
        </w:numPr>
        <w:rPr>
          <w:spacing w:val="-2"/>
          <w:sz w:val="20"/>
        </w:rPr>
      </w:pPr>
      <w:r w:rsidRPr="000206BE">
        <w:rPr>
          <w:spacing w:val="-2"/>
          <w:sz w:val="20"/>
        </w:rPr>
        <w:t xml:space="preserve">100% ownership of the Lac La </w:t>
      </w:r>
      <w:proofErr w:type="spellStart"/>
      <w:r w:rsidRPr="000206BE">
        <w:rPr>
          <w:spacing w:val="-2"/>
          <w:sz w:val="20"/>
        </w:rPr>
        <w:t>Hache</w:t>
      </w:r>
      <w:proofErr w:type="spellEnd"/>
      <w:r w:rsidRPr="000206BE">
        <w:rPr>
          <w:spacing w:val="-2"/>
          <w:sz w:val="20"/>
        </w:rPr>
        <w:t xml:space="preserve"> Gold Project; and </w:t>
      </w:r>
    </w:p>
    <w:p w14:paraId="69EBEEC9" w14:textId="1366D5EF" w:rsidR="00C568C1" w:rsidRPr="000206BE" w:rsidRDefault="00C568C1" w:rsidP="0023224B">
      <w:pPr>
        <w:pStyle w:val="ListParagraph"/>
        <w:widowControl/>
        <w:numPr>
          <w:ilvl w:val="0"/>
          <w:numId w:val="22"/>
        </w:numPr>
        <w:rPr>
          <w:spacing w:val="-2"/>
          <w:sz w:val="20"/>
        </w:rPr>
      </w:pPr>
      <w:r w:rsidRPr="000206BE">
        <w:rPr>
          <w:spacing w:val="-2"/>
          <w:sz w:val="20"/>
        </w:rPr>
        <w:t xml:space="preserve">100% ownership of the Pinto Gold Project. </w:t>
      </w:r>
    </w:p>
    <w:p w14:paraId="464E56EE" w14:textId="6F5CC3D3" w:rsidR="00C568C1" w:rsidRDefault="00C568C1" w:rsidP="0052677E">
      <w:pPr>
        <w:spacing w:before="120" w:after="120"/>
        <w:ind w:left="432"/>
        <w:jc w:val="both"/>
        <w:rPr>
          <w:sz w:val="20"/>
        </w:rPr>
      </w:pPr>
      <w:r w:rsidRPr="0052677E">
        <w:rPr>
          <w:sz w:val="20"/>
        </w:rPr>
        <w:t>The Company issued 17</w:t>
      </w:r>
      <w:r w:rsidR="00627D00">
        <w:rPr>
          <w:sz w:val="20"/>
        </w:rPr>
        <w:t>,500,000</w:t>
      </w:r>
      <w:r w:rsidRPr="0052677E">
        <w:rPr>
          <w:sz w:val="20"/>
        </w:rPr>
        <w:t xml:space="preserve"> shares </w:t>
      </w:r>
      <w:r w:rsidR="002B2AE6">
        <w:rPr>
          <w:sz w:val="20"/>
        </w:rPr>
        <w:t>with</w:t>
      </w:r>
      <w:r w:rsidR="002B2AE6" w:rsidRPr="0052677E">
        <w:rPr>
          <w:sz w:val="20"/>
        </w:rPr>
        <w:t xml:space="preserve"> </w:t>
      </w:r>
      <w:r w:rsidR="00603045" w:rsidRPr="0052677E">
        <w:rPr>
          <w:sz w:val="20"/>
        </w:rPr>
        <w:t xml:space="preserve">a fair value of $4,375,000 </w:t>
      </w:r>
      <w:r w:rsidRPr="0052677E">
        <w:rPr>
          <w:sz w:val="20"/>
        </w:rPr>
        <w:t>and paid a total of $25,000</w:t>
      </w:r>
      <w:r w:rsidR="002B2AE6">
        <w:rPr>
          <w:sz w:val="20"/>
        </w:rPr>
        <w:t xml:space="preserve"> in cash</w:t>
      </w:r>
      <w:r w:rsidRPr="0052677E">
        <w:rPr>
          <w:sz w:val="20"/>
        </w:rPr>
        <w:t xml:space="preserve"> to the shareholders of 116 to satisfy the terms of the 116 Agreement. </w:t>
      </w:r>
    </w:p>
    <w:p w14:paraId="10DD5E65" w14:textId="77777777" w:rsidR="00285908" w:rsidRDefault="00285908" w:rsidP="00285908">
      <w:pPr>
        <w:widowControl/>
        <w:tabs>
          <w:tab w:val="left" w:pos="426"/>
        </w:tabs>
        <w:rPr>
          <w:b/>
          <w:spacing w:val="-2"/>
          <w:sz w:val="20"/>
        </w:rPr>
      </w:pPr>
      <w:r w:rsidRPr="0052677E">
        <w:rPr>
          <w:b/>
          <w:spacing w:val="-2"/>
          <w:sz w:val="20"/>
        </w:rPr>
        <w:lastRenderedPageBreak/>
        <w:t>4.</w:t>
      </w:r>
      <w:r w:rsidRPr="0052677E">
        <w:rPr>
          <w:b/>
          <w:spacing w:val="-2"/>
          <w:sz w:val="20"/>
        </w:rPr>
        <w:tab/>
        <w:t>Exploration and evaluation assets (</w:t>
      </w:r>
      <w:r>
        <w:rPr>
          <w:b/>
          <w:spacing w:val="-2"/>
          <w:sz w:val="20"/>
        </w:rPr>
        <w:t>c</w:t>
      </w:r>
      <w:r w:rsidRPr="0052677E">
        <w:rPr>
          <w:b/>
          <w:spacing w:val="-2"/>
          <w:sz w:val="20"/>
        </w:rPr>
        <w:t>ontinued)</w:t>
      </w:r>
    </w:p>
    <w:p w14:paraId="4704EA83" w14:textId="177AFD4C" w:rsidR="00962DEB" w:rsidRPr="00C2667A" w:rsidRDefault="00962DEB" w:rsidP="00285908">
      <w:pPr>
        <w:widowControl/>
        <w:tabs>
          <w:tab w:val="left" w:pos="900"/>
        </w:tabs>
        <w:suppressAutoHyphens/>
        <w:overflowPunct w:val="0"/>
        <w:autoSpaceDE w:val="0"/>
        <w:autoSpaceDN w:val="0"/>
        <w:adjustRightInd w:val="0"/>
        <w:spacing w:before="240" w:after="120"/>
        <w:ind w:left="450"/>
        <w:jc w:val="both"/>
        <w:textAlignment w:val="baseline"/>
        <w:rPr>
          <w:b/>
          <w:spacing w:val="-3"/>
          <w:sz w:val="20"/>
        </w:rPr>
      </w:pPr>
      <w:r w:rsidRPr="00C2667A">
        <w:rPr>
          <w:b/>
          <w:spacing w:val="-3"/>
          <w:sz w:val="20"/>
        </w:rPr>
        <w:t>Plenty Zone South Option</w:t>
      </w:r>
    </w:p>
    <w:p w14:paraId="409EC415" w14:textId="77777777" w:rsidR="00D1270F" w:rsidRPr="00C2667A" w:rsidRDefault="00D1270F" w:rsidP="0052677E">
      <w:pPr>
        <w:spacing w:before="120" w:after="120"/>
        <w:ind w:left="432"/>
        <w:jc w:val="both"/>
        <w:rPr>
          <w:sz w:val="20"/>
        </w:rPr>
      </w:pPr>
      <w:r w:rsidRPr="00C2667A">
        <w:rPr>
          <w:sz w:val="20"/>
        </w:rPr>
        <w:t xml:space="preserve">On March 19, 2019, the Company entered into an Option Agreement (“Plenty Zone South” Property) to explore and develop licenses in Nova Scotia. The Company obtained an option to earn 100% interest subject to a 2% NSR. The Company has the option to reduce the NSR to 1% with a payment of $1,000,000. The drilling date (“Drilling Date”) is the date the Company commences drilling activity. </w:t>
      </w:r>
    </w:p>
    <w:p w14:paraId="25D5399D" w14:textId="77777777" w:rsidR="00D1270F" w:rsidRPr="00C2667A" w:rsidRDefault="00D1270F" w:rsidP="0052677E">
      <w:pPr>
        <w:spacing w:before="120" w:after="120"/>
        <w:ind w:left="432"/>
        <w:jc w:val="both"/>
        <w:rPr>
          <w:spacing w:val="-2"/>
          <w:sz w:val="20"/>
        </w:rPr>
      </w:pPr>
      <w:r w:rsidRPr="00C2667A">
        <w:rPr>
          <w:spacing w:val="-2"/>
          <w:sz w:val="20"/>
        </w:rPr>
        <w:t>To earn 100% interest, the Company is committed to make the following payments and expenditures:</w:t>
      </w:r>
    </w:p>
    <w:p w14:paraId="001009AA" w14:textId="6C9B345D" w:rsidR="00D1270F" w:rsidRPr="00C2667A" w:rsidRDefault="00D1270F" w:rsidP="00D1270F">
      <w:pPr>
        <w:pStyle w:val="ListParagraph"/>
        <w:numPr>
          <w:ilvl w:val="0"/>
          <w:numId w:val="39"/>
        </w:numPr>
        <w:autoSpaceDE w:val="0"/>
        <w:autoSpaceDN w:val="0"/>
        <w:adjustRightInd w:val="0"/>
        <w:jc w:val="both"/>
        <w:rPr>
          <w:spacing w:val="-2"/>
          <w:sz w:val="20"/>
        </w:rPr>
      </w:pPr>
      <w:r w:rsidRPr="00C2667A">
        <w:rPr>
          <w:spacing w:val="-2"/>
          <w:sz w:val="20"/>
        </w:rPr>
        <w:t>Cash payment of $10,000 on the date that is six months after the Drilling Date</w:t>
      </w:r>
      <w:r w:rsidR="008927F8" w:rsidRPr="00C2667A">
        <w:rPr>
          <w:spacing w:val="-2"/>
          <w:sz w:val="20"/>
        </w:rPr>
        <w:t xml:space="preserve"> (paid)</w:t>
      </w:r>
      <w:r w:rsidRPr="00C2667A">
        <w:rPr>
          <w:spacing w:val="-2"/>
          <w:sz w:val="20"/>
        </w:rPr>
        <w:t>;</w:t>
      </w:r>
    </w:p>
    <w:p w14:paraId="024F7922" w14:textId="5D54DF5F" w:rsidR="00D1270F" w:rsidRPr="00C2667A" w:rsidRDefault="00D1270F" w:rsidP="00D1270F">
      <w:pPr>
        <w:pStyle w:val="ListParagraph"/>
        <w:numPr>
          <w:ilvl w:val="0"/>
          <w:numId w:val="39"/>
        </w:numPr>
        <w:autoSpaceDE w:val="0"/>
        <w:autoSpaceDN w:val="0"/>
        <w:adjustRightInd w:val="0"/>
        <w:jc w:val="both"/>
        <w:rPr>
          <w:spacing w:val="-2"/>
          <w:sz w:val="20"/>
        </w:rPr>
      </w:pPr>
      <w:r w:rsidRPr="00C2667A">
        <w:rPr>
          <w:spacing w:val="-2"/>
          <w:sz w:val="20"/>
        </w:rPr>
        <w:t>Cash payment of $20,000 on the 12-month anniversary of the Drilling Date</w:t>
      </w:r>
      <w:r w:rsidR="00545C3A">
        <w:rPr>
          <w:spacing w:val="-2"/>
          <w:sz w:val="20"/>
        </w:rPr>
        <w:t xml:space="preserve"> (paid)</w:t>
      </w:r>
      <w:r w:rsidRPr="00C2667A">
        <w:rPr>
          <w:spacing w:val="-2"/>
          <w:sz w:val="20"/>
        </w:rPr>
        <w:t>;</w:t>
      </w:r>
    </w:p>
    <w:p w14:paraId="3DE6AD93" w14:textId="77777777" w:rsidR="00D1270F" w:rsidRPr="00C2667A" w:rsidRDefault="00D1270F" w:rsidP="00D1270F">
      <w:pPr>
        <w:pStyle w:val="ListParagraph"/>
        <w:numPr>
          <w:ilvl w:val="0"/>
          <w:numId w:val="39"/>
        </w:numPr>
        <w:autoSpaceDE w:val="0"/>
        <w:autoSpaceDN w:val="0"/>
        <w:adjustRightInd w:val="0"/>
        <w:jc w:val="both"/>
        <w:rPr>
          <w:spacing w:val="-2"/>
          <w:sz w:val="20"/>
        </w:rPr>
      </w:pPr>
      <w:r w:rsidRPr="00C2667A">
        <w:rPr>
          <w:spacing w:val="-2"/>
          <w:sz w:val="20"/>
        </w:rPr>
        <w:t>Cash payment of $30,000 on the 18-month anniversary of the Drilling Date; and,</w:t>
      </w:r>
    </w:p>
    <w:p w14:paraId="559DA594" w14:textId="44CE7FFC" w:rsidR="00D1270F" w:rsidRDefault="00D1270F" w:rsidP="00D1270F">
      <w:pPr>
        <w:pStyle w:val="ListParagraph"/>
        <w:numPr>
          <w:ilvl w:val="0"/>
          <w:numId w:val="39"/>
        </w:numPr>
        <w:autoSpaceDE w:val="0"/>
        <w:autoSpaceDN w:val="0"/>
        <w:adjustRightInd w:val="0"/>
        <w:jc w:val="both"/>
        <w:rPr>
          <w:spacing w:val="-2"/>
          <w:sz w:val="20"/>
        </w:rPr>
      </w:pPr>
      <w:r w:rsidRPr="00C2667A">
        <w:rPr>
          <w:spacing w:val="-2"/>
          <w:sz w:val="20"/>
        </w:rPr>
        <w:t>Cash payment of $100,000 on the 24- month anniversary date of the Drilling Date.</w:t>
      </w:r>
    </w:p>
    <w:p w14:paraId="4110C57B" w14:textId="2BB84C6B" w:rsidR="00285908" w:rsidRDefault="00285908" w:rsidP="00285908">
      <w:pPr>
        <w:autoSpaceDE w:val="0"/>
        <w:autoSpaceDN w:val="0"/>
        <w:adjustRightInd w:val="0"/>
        <w:jc w:val="both"/>
        <w:rPr>
          <w:spacing w:val="-2"/>
          <w:sz w:val="20"/>
        </w:rPr>
      </w:pPr>
    </w:p>
    <w:p w14:paraId="1377C7F6" w14:textId="77777777" w:rsidR="00962605" w:rsidRPr="0052677E" w:rsidRDefault="00962605" w:rsidP="0052677E">
      <w:pPr>
        <w:widowControl/>
        <w:tabs>
          <w:tab w:val="left" w:pos="900"/>
        </w:tabs>
        <w:suppressAutoHyphens/>
        <w:overflowPunct w:val="0"/>
        <w:autoSpaceDE w:val="0"/>
        <w:autoSpaceDN w:val="0"/>
        <w:adjustRightInd w:val="0"/>
        <w:spacing w:before="120" w:after="120"/>
        <w:ind w:left="450"/>
        <w:jc w:val="both"/>
        <w:textAlignment w:val="baseline"/>
        <w:rPr>
          <w:b/>
          <w:spacing w:val="-3"/>
          <w:sz w:val="20"/>
        </w:rPr>
      </w:pPr>
      <w:r w:rsidRPr="0052677E">
        <w:rPr>
          <w:b/>
          <w:spacing w:val="-3"/>
          <w:sz w:val="20"/>
        </w:rPr>
        <w:t>Tay-LP Gold Property Mineral Option</w:t>
      </w:r>
    </w:p>
    <w:p w14:paraId="08597593" w14:textId="05676DE9" w:rsidR="00962605" w:rsidRPr="0052677E" w:rsidRDefault="00684F65" w:rsidP="0052677E">
      <w:pPr>
        <w:spacing w:before="120" w:after="120"/>
        <w:ind w:left="432"/>
        <w:jc w:val="both"/>
        <w:rPr>
          <w:sz w:val="20"/>
        </w:rPr>
      </w:pPr>
      <w:r>
        <w:rPr>
          <w:sz w:val="20"/>
        </w:rPr>
        <w:t>During the year ended March 31, 2019</w:t>
      </w:r>
      <w:r w:rsidR="00962605" w:rsidRPr="0052677E">
        <w:rPr>
          <w:sz w:val="20"/>
        </w:rPr>
        <w:t>, the Company terminated its option in Tay-LP and the Company recorded impairment of $171,399.</w:t>
      </w:r>
    </w:p>
    <w:p w14:paraId="4B7C211C" w14:textId="77777777" w:rsidR="00382DF7" w:rsidRPr="0052677E" w:rsidRDefault="00382DF7" w:rsidP="0052677E">
      <w:pPr>
        <w:widowControl/>
        <w:tabs>
          <w:tab w:val="left" w:pos="900"/>
        </w:tabs>
        <w:suppressAutoHyphens/>
        <w:overflowPunct w:val="0"/>
        <w:autoSpaceDE w:val="0"/>
        <w:autoSpaceDN w:val="0"/>
        <w:adjustRightInd w:val="0"/>
        <w:spacing w:before="120" w:after="120"/>
        <w:ind w:left="450"/>
        <w:jc w:val="both"/>
        <w:textAlignment w:val="baseline"/>
        <w:rPr>
          <w:b/>
          <w:spacing w:val="-3"/>
          <w:sz w:val="20"/>
        </w:rPr>
      </w:pPr>
      <w:r w:rsidRPr="0052677E">
        <w:rPr>
          <w:b/>
          <w:spacing w:val="-3"/>
          <w:sz w:val="20"/>
        </w:rPr>
        <w:t xml:space="preserve">White Caps Gold Project </w:t>
      </w:r>
    </w:p>
    <w:p w14:paraId="6F96937C" w14:textId="41BE224A" w:rsidR="004D47E3" w:rsidRDefault="004D47E3" w:rsidP="0052677E">
      <w:pPr>
        <w:spacing w:before="120" w:after="120"/>
        <w:ind w:left="432"/>
        <w:jc w:val="both"/>
        <w:rPr>
          <w:sz w:val="20"/>
        </w:rPr>
      </w:pPr>
      <w:r w:rsidRPr="000206BE">
        <w:rPr>
          <w:sz w:val="20"/>
        </w:rPr>
        <w:t>During the year ended March 31, 2019, the Company disposed of its wholly-owned subsidiary, WCMC, to an arm’s length party. On the date of disposition, WCMC had net liabilities of $122,411</w:t>
      </w:r>
      <w:r>
        <w:rPr>
          <w:sz w:val="20"/>
        </w:rPr>
        <w:t>.</w:t>
      </w:r>
      <w:r w:rsidRPr="000206BE">
        <w:rPr>
          <w:sz w:val="20"/>
        </w:rPr>
        <w:t xml:space="preserve"> The Company received $13,600 (US$10,000) from the acquirer and, as a result, the Company recognized a $</w:t>
      </w:r>
      <w:r>
        <w:rPr>
          <w:sz w:val="20"/>
        </w:rPr>
        <w:t>111,055</w:t>
      </w:r>
      <w:r w:rsidRPr="000206BE">
        <w:rPr>
          <w:sz w:val="20"/>
        </w:rPr>
        <w:t xml:space="preserve"> gain on disposal of WCMC.</w:t>
      </w:r>
    </w:p>
    <w:p w14:paraId="5ACBEB67" w14:textId="15C9DBB8" w:rsidR="000E51A4" w:rsidRPr="0052677E" w:rsidRDefault="000E51A4" w:rsidP="000545C9">
      <w:pPr>
        <w:widowControl/>
        <w:tabs>
          <w:tab w:val="left" w:pos="900"/>
        </w:tabs>
        <w:suppressAutoHyphens/>
        <w:overflowPunct w:val="0"/>
        <w:autoSpaceDE w:val="0"/>
        <w:autoSpaceDN w:val="0"/>
        <w:adjustRightInd w:val="0"/>
        <w:spacing w:after="120"/>
        <w:ind w:left="450"/>
        <w:jc w:val="both"/>
        <w:textAlignment w:val="baseline"/>
        <w:rPr>
          <w:b/>
          <w:spacing w:val="-3"/>
          <w:sz w:val="20"/>
        </w:rPr>
      </w:pPr>
      <w:r w:rsidRPr="0052677E">
        <w:rPr>
          <w:b/>
          <w:spacing w:val="-3"/>
          <w:sz w:val="20"/>
        </w:rPr>
        <w:t>Palladium Project</w:t>
      </w:r>
    </w:p>
    <w:p w14:paraId="3EB11C60" w14:textId="67713557" w:rsidR="000E51A4" w:rsidRDefault="000E51A4" w:rsidP="0052677E">
      <w:pPr>
        <w:spacing w:before="120" w:after="120"/>
        <w:ind w:left="432"/>
        <w:jc w:val="both"/>
        <w:rPr>
          <w:sz w:val="20"/>
        </w:rPr>
      </w:pPr>
      <w:r w:rsidRPr="0052677E">
        <w:rPr>
          <w:sz w:val="20"/>
        </w:rPr>
        <w:t xml:space="preserve">On March 10, 2020, the Company agreed to acquire 5 mineral claims for total of 3067 hectares, located in the Similkameen mining division approximately 7 and 20 km north west of Copper Mountain and hosts the potential for palladium and platinum associated with both the alkalic </w:t>
      </w:r>
      <w:r w:rsidR="00AE6FCE" w:rsidRPr="0052677E">
        <w:rPr>
          <w:sz w:val="20"/>
        </w:rPr>
        <w:t>intrusive</w:t>
      </w:r>
      <w:r w:rsidRPr="0052677E">
        <w:rPr>
          <w:sz w:val="20"/>
        </w:rPr>
        <w:t xml:space="preserve"> of the Okanagan</w:t>
      </w:r>
      <w:r w:rsidR="00035033">
        <w:rPr>
          <w:sz w:val="20"/>
        </w:rPr>
        <w:t xml:space="preserve"> (“Palladium Project”)</w:t>
      </w:r>
      <w:r w:rsidRPr="0052677E">
        <w:rPr>
          <w:sz w:val="20"/>
        </w:rPr>
        <w:t xml:space="preserve">. The </w:t>
      </w:r>
      <w:r w:rsidR="002B2AE6">
        <w:rPr>
          <w:sz w:val="20"/>
        </w:rPr>
        <w:t>c</w:t>
      </w:r>
      <w:r w:rsidRPr="0052677E">
        <w:rPr>
          <w:sz w:val="20"/>
        </w:rPr>
        <w:t xml:space="preserve">laims </w:t>
      </w:r>
      <w:r w:rsidR="00035033">
        <w:rPr>
          <w:sz w:val="20"/>
        </w:rPr>
        <w:t>will be</w:t>
      </w:r>
      <w:r w:rsidR="00035033" w:rsidRPr="0052677E">
        <w:rPr>
          <w:sz w:val="20"/>
        </w:rPr>
        <w:t xml:space="preserve"> </w:t>
      </w:r>
      <w:r w:rsidRPr="0052677E">
        <w:rPr>
          <w:sz w:val="20"/>
        </w:rPr>
        <w:t>acquired from arm’s length vendors in consideration of the sum of CDN$125,000, and 6,000,000 fully paid and non-assessable common shares</w:t>
      </w:r>
      <w:r w:rsidR="00684F65">
        <w:rPr>
          <w:sz w:val="20"/>
        </w:rPr>
        <w:t xml:space="preserve"> (issued)</w:t>
      </w:r>
      <w:r w:rsidR="00C75E33">
        <w:rPr>
          <w:sz w:val="20"/>
        </w:rPr>
        <w:t xml:space="preserve"> (Note </w:t>
      </w:r>
      <w:r w:rsidR="00C97728">
        <w:rPr>
          <w:sz w:val="20"/>
        </w:rPr>
        <w:t>7</w:t>
      </w:r>
      <w:r w:rsidR="00C75E33">
        <w:rPr>
          <w:sz w:val="20"/>
        </w:rPr>
        <w:t>)</w:t>
      </w:r>
      <w:r w:rsidRPr="0052677E">
        <w:rPr>
          <w:sz w:val="20"/>
        </w:rPr>
        <w:t>. No finder’s fees were paid in connection with the Acquisition.</w:t>
      </w:r>
    </w:p>
    <w:p w14:paraId="0416738A" w14:textId="4FD97144" w:rsidR="00C97728" w:rsidRPr="0052677E" w:rsidRDefault="00C97728" w:rsidP="0052677E">
      <w:pPr>
        <w:spacing w:before="120" w:after="120"/>
        <w:ind w:left="432"/>
        <w:jc w:val="both"/>
        <w:rPr>
          <w:sz w:val="20"/>
        </w:rPr>
      </w:pPr>
      <w:r>
        <w:rPr>
          <w:sz w:val="20"/>
        </w:rPr>
        <w:t xml:space="preserve">As at </w:t>
      </w:r>
      <w:r w:rsidR="00F9401E">
        <w:rPr>
          <w:sz w:val="20"/>
        </w:rPr>
        <w:t>June 30</w:t>
      </w:r>
      <w:r>
        <w:rPr>
          <w:sz w:val="20"/>
        </w:rPr>
        <w:t xml:space="preserve">, 2020, the </w:t>
      </w:r>
      <w:r w:rsidR="00035033">
        <w:rPr>
          <w:sz w:val="20"/>
        </w:rPr>
        <w:t>cash payment</w:t>
      </w:r>
      <w:r w:rsidR="001D7DF6">
        <w:rPr>
          <w:sz w:val="20"/>
        </w:rPr>
        <w:t xml:space="preserve"> is</w:t>
      </w:r>
      <w:r w:rsidR="00035033">
        <w:rPr>
          <w:sz w:val="20"/>
        </w:rPr>
        <w:t xml:space="preserve"> outstanding</w:t>
      </w:r>
      <w:r w:rsidR="008F08C1">
        <w:rPr>
          <w:sz w:val="20"/>
        </w:rPr>
        <w:t xml:space="preserve"> and included in accounts payable</w:t>
      </w:r>
      <w:r w:rsidR="001D7DF6">
        <w:rPr>
          <w:sz w:val="20"/>
        </w:rPr>
        <w:t xml:space="preserve"> and</w:t>
      </w:r>
      <w:r w:rsidR="00035033">
        <w:rPr>
          <w:sz w:val="20"/>
        </w:rPr>
        <w:t xml:space="preserve"> 6,000,000 common shares were issued</w:t>
      </w:r>
      <w:r w:rsidR="002B2AE6">
        <w:rPr>
          <w:sz w:val="20"/>
        </w:rPr>
        <w:t xml:space="preserve"> </w:t>
      </w:r>
      <w:r w:rsidR="00F9401E">
        <w:rPr>
          <w:sz w:val="20"/>
        </w:rPr>
        <w:t xml:space="preserve">during the year ended March 31, 2020, </w:t>
      </w:r>
      <w:r w:rsidR="002B2AE6">
        <w:rPr>
          <w:sz w:val="20"/>
        </w:rPr>
        <w:t>with</w:t>
      </w:r>
      <w:r w:rsidR="00035033">
        <w:rPr>
          <w:sz w:val="20"/>
        </w:rPr>
        <w:t xml:space="preserve"> a fair value of $840,000</w:t>
      </w:r>
      <w:r w:rsidR="00CF63FF">
        <w:rPr>
          <w:sz w:val="20"/>
        </w:rPr>
        <w:t xml:space="preserve"> (Note 7)</w:t>
      </w:r>
      <w:r w:rsidR="00035033">
        <w:rPr>
          <w:sz w:val="20"/>
        </w:rPr>
        <w:t xml:space="preserve">. </w:t>
      </w:r>
    </w:p>
    <w:p w14:paraId="5C465CC8" w14:textId="4B36BD75" w:rsidR="00D41076" w:rsidRPr="0052677E" w:rsidRDefault="0052677E" w:rsidP="0052677E">
      <w:pPr>
        <w:autoSpaceDE w:val="0"/>
        <w:autoSpaceDN w:val="0"/>
        <w:adjustRightInd w:val="0"/>
        <w:ind w:left="425" w:hanging="425"/>
        <w:jc w:val="both"/>
        <w:rPr>
          <w:b/>
          <w:spacing w:val="-2"/>
          <w:sz w:val="20"/>
        </w:rPr>
      </w:pPr>
      <w:r w:rsidRPr="0052677E">
        <w:rPr>
          <w:b/>
          <w:spacing w:val="-2"/>
          <w:sz w:val="20"/>
        </w:rPr>
        <w:t>5.</w:t>
      </w:r>
      <w:r w:rsidRPr="0052677E">
        <w:rPr>
          <w:b/>
          <w:spacing w:val="-2"/>
          <w:sz w:val="20"/>
        </w:rPr>
        <w:tab/>
      </w:r>
      <w:bookmarkStart w:id="7" w:name="_Hlk519691676"/>
      <w:r w:rsidR="00D41076" w:rsidRPr="0052677E">
        <w:rPr>
          <w:b/>
          <w:spacing w:val="-2"/>
          <w:sz w:val="20"/>
        </w:rPr>
        <w:t>Exploration and evaluation activity</w:t>
      </w:r>
    </w:p>
    <w:p w14:paraId="54D7DA4B" w14:textId="125B1EE4" w:rsidR="00D26C09" w:rsidRPr="0052677E" w:rsidRDefault="00D26C09" w:rsidP="00D26C09">
      <w:pPr>
        <w:spacing w:before="120" w:after="120"/>
        <w:ind w:left="432"/>
        <w:jc w:val="both"/>
        <w:rPr>
          <w:sz w:val="20"/>
        </w:rPr>
      </w:pPr>
      <w:r w:rsidRPr="0052677E">
        <w:rPr>
          <w:sz w:val="20"/>
        </w:rPr>
        <w:t xml:space="preserve">The following table provides a breakdown of exploration and evaluation activity of the </w:t>
      </w:r>
      <w:proofErr w:type="spellStart"/>
      <w:r w:rsidRPr="0052677E">
        <w:rPr>
          <w:sz w:val="20"/>
        </w:rPr>
        <w:t>Meguma</w:t>
      </w:r>
      <w:proofErr w:type="spellEnd"/>
      <w:r w:rsidRPr="0052677E">
        <w:rPr>
          <w:sz w:val="20"/>
        </w:rPr>
        <w:t xml:space="preserve"> Project </w:t>
      </w:r>
      <w:r>
        <w:rPr>
          <w:sz w:val="20"/>
        </w:rPr>
        <w:t>for</w:t>
      </w:r>
      <w:r w:rsidRPr="0052677E">
        <w:rPr>
          <w:sz w:val="20"/>
        </w:rPr>
        <w:t xml:space="preserve"> the </w:t>
      </w:r>
      <w:r>
        <w:rPr>
          <w:sz w:val="20"/>
        </w:rPr>
        <w:t>three-month period</w:t>
      </w:r>
      <w:r w:rsidRPr="0052677E">
        <w:rPr>
          <w:sz w:val="20"/>
        </w:rPr>
        <w:t xml:space="preserve"> ended </w:t>
      </w:r>
      <w:r>
        <w:rPr>
          <w:sz w:val="20"/>
        </w:rPr>
        <w:t>June</w:t>
      </w:r>
      <w:r w:rsidRPr="0052677E">
        <w:rPr>
          <w:sz w:val="20"/>
        </w:rPr>
        <w:t xml:space="preserve"> 3</w:t>
      </w:r>
      <w:r>
        <w:rPr>
          <w:sz w:val="20"/>
        </w:rPr>
        <w:t>0</w:t>
      </w:r>
      <w:r w:rsidRPr="0052677E">
        <w:rPr>
          <w:sz w:val="20"/>
        </w:rPr>
        <w:t>, 2020 (note 4):</w:t>
      </w:r>
    </w:p>
    <w:tbl>
      <w:tblPr>
        <w:tblW w:w="8877" w:type="dxa"/>
        <w:tblInd w:w="450" w:type="dxa"/>
        <w:tblLayout w:type="fixed"/>
        <w:tblLook w:val="04A0" w:firstRow="1" w:lastRow="0" w:firstColumn="1" w:lastColumn="0" w:noHBand="0" w:noVBand="1"/>
      </w:tblPr>
      <w:tblGrid>
        <w:gridCol w:w="7218"/>
        <w:gridCol w:w="1659"/>
      </w:tblGrid>
      <w:tr w:rsidR="00D26C09" w:rsidRPr="008927F8" w14:paraId="7AC74548" w14:textId="77777777" w:rsidTr="00140712">
        <w:trPr>
          <w:trHeight w:val="90"/>
        </w:trPr>
        <w:tc>
          <w:tcPr>
            <w:tcW w:w="7218" w:type="dxa"/>
            <w:tcBorders>
              <w:top w:val="double" w:sz="4" w:space="0" w:color="auto"/>
              <w:left w:val="nil"/>
              <w:right w:val="nil"/>
            </w:tcBorders>
            <w:shd w:val="clear" w:color="auto" w:fill="auto"/>
            <w:noWrap/>
            <w:vAlign w:val="bottom"/>
            <w:hideMark/>
          </w:tcPr>
          <w:p w14:paraId="77DE4184" w14:textId="77777777" w:rsidR="00D26C09" w:rsidRPr="008927F8" w:rsidRDefault="00D26C09" w:rsidP="00140712">
            <w:pPr>
              <w:widowControl/>
              <w:rPr>
                <w:sz w:val="20"/>
              </w:rPr>
            </w:pPr>
            <w:r w:rsidRPr="008927F8">
              <w:rPr>
                <w:sz w:val="20"/>
              </w:rPr>
              <w:t> </w:t>
            </w:r>
          </w:p>
        </w:tc>
        <w:tc>
          <w:tcPr>
            <w:tcW w:w="1659" w:type="dxa"/>
            <w:tcBorders>
              <w:top w:val="double" w:sz="4" w:space="0" w:color="auto"/>
              <w:left w:val="nil"/>
              <w:right w:val="nil"/>
            </w:tcBorders>
            <w:vAlign w:val="bottom"/>
          </w:tcPr>
          <w:p w14:paraId="24844FBA" w14:textId="77777777" w:rsidR="00D26C09" w:rsidRPr="008927F8" w:rsidRDefault="00D26C09" w:rsidP="00140712">
            <w:pPr>
              <w:widowControl/>
              <w:jc w:val="right"/>
              <w:rPr>
                <w:b/>
                <w:bCs/>
                <w:sz w:val="20"/>
              </w:rPr>
            </w:pPr>
            <w:proofErr w:type="spellStart"/>
            <w:r w:rsidRPr="008927F8">
              <w:rPr>
                <w:b/>
                <w:bCs/>
                <w:sz w:val="20"/>
              </w:rPr>
              <w:t>Meguma</w:t>
            </w:r>
            <w:proofErr w:type="spellEnd"/>
            <w:r w:rsidRPr="008927F8">
              <w:rPr>
                <w:b/>
                <w:bCs/>
                <w:sz w:val="20"/>
              </w:rPr>
              <w:t xml:space="preserve"> </w:t>
            </w:r>
          </w:p>
          <w:p w14:paraId="02F36645" w14:textId="77777777" w:rsidR="00D26C09" w:rsidRPr="008927F8" w:rsidRDefault="00D26C09" w:rsidP="00140712">
            <w:pPr>
              <w:widowControl/>
              <w:jc w:val="right"/>
              <w:rPr>
                <w:b/>
                <w:bCs/>
                <w:sz w:val="20"/>
              </w:rPr>
            </w:pPr>
            <w:r w:rsidRPr="008927F8">
              <w:rPr>
                <w:b/>
                <w:bCs/>
                <w:sz w:val="20"/>
              </w:rPr>
              <w:t>Project</w:t>
            </w:r>
          </w:p>
          <w:p w14:paraId="4EA7146C" w14:textId="77777777" w:rsidR="00D26C09" w:rsidRPr="008927F8" w:rsidRDefault="00D26C09" w:rsidP="00140712">
            <w:pPr>
              <w:widowControl/>
              <w:jc w:val="right"/>
              <w:rPr>
                <w:b/>
                <w:bCs/>
                <w:sz w:val="20"/>
              </w:rPr>
            </w:pPr>
            <w:r w:rsidRPr="008927F8">
              <w:rPr>
                <w:b/>
                <w:bCs/>
                <w:sz w:val="20"/>
              </w:rPr>
              <w:t xml:space="preserve"> $</w:t>
            </w:r>
          </w:p>
        </w:tc>
      </w:tr>
      <w:tr w:rsidR="00D26C09" w:rsidRPr="008927F8" w14:paraId="4264DC30" w14:textId="77777777" w:rsidTr="00140712">
        <w:trPr>
          <w:trHeight w:val="288"/>
        </w:trPr>
        <w:tc>
          <w:tcPr>
            <w:tcW w:w="7218" w:type="dxa"/>
            <w:tcBorders>
              <w:top w:val="single" w:sz="4" w:space="0" w:color="auto"/>
              <w:left w:val="nil"/>
              <w:right w:val="nil"/>
            </w:tcBorders>
            <w:shd w:val="clear" w:color="auto" w:fill="auto"/>
            <w:noWrap/>
            <w:vAlign w:val="bottom"/>
          </w:tcPr>
          <w:p w14:paraId="49B9C807" w14:textId="77777777" w:rsidR="00D26C09" w:rsidRPr="008927F8" w:rsidRDefault="00D26C09" w:rsidP="00140712">
            <w:pPr>
              <w:widowControl/>
              <w:rPr>
                <w:sz w:val="20"/>
              </w:rPr>
            </w:pPr>
            <w:r w:rsidRPr="008927F8">
              <w:rPr>
                <w:sz w:val="20"/>
              </w:rPr>
              <w:t>Assaying</w:t>
            </w:r>
            <w:r>
              <w:rPr>
                <w:sz w:val="20"/>
              </w:rPr>
              <w:t xml:space="preserve"> and others </w:t>
            </w:r>
          </w:p>
        </w:tc>
        <w:tc>
          <w:tcPr>
            <w:tcW w:w="1659" w:type="dxa"/>
            <w:tcBorders>
              <w:top w:val="single" w:sz="4" w:space="0" w:color="auto"/>
              <w:left w:val="nil"/>
              <w:right w:val="nil"/>
            </w:tcBorders>
            <w:shd w:val="clear" w:color="auto" w:fill="auto"/>
            <w:vAlign w:val="bottom"/>
          </w:tcPr>
          <w:p w14:paraId="773B8B88" w14:textId="2F6AD6F7" w:rsidR="00D26C09" w:rsidRPr="008927F8" w:rsidRDefault="00D26C09" w:rsidP="00140712">
            <w:pPr>
              <w:widowControl/>
              <w:jc w:val="right"/>
              <w:rPr>
                <w:sz w:val="20"/>
              </w:rPr>
            </w:pPr>
            <w:r>
              <w:rPr>
                <w:sz w:val="20"/>
              </w:rPr>
              <w:t>63</w:t>
            </w:r>
            <w:r w:rsidRPr="008927F8">
              <w:rPr>
                <w:sz w:val="20"/>
              </w:rPr>
              <w:t xml:space="preserve"> </w:t>
            </w:r>
          </w:p>
        </w:tc>
      </w:tr>
      <w:tr w:rsidR="00D26C09" w:rsidRPr="008927F8" w14:paraId="14F067F9" w14:textId="77777777" w:rsidTr="00140712">
        <w:trPr>
          <w:trHeight w:val="288"/>
        </w:trPr>
        <w:tc>
          <w:tcPr>
            <w:tcW w:w="7218" w:type="dxa"/>
            <w:tcBorders>
              <w:left w:val="nil"/>
              <w:right w:val="nil"/>
            </w:tcBorders>
            <w:shd w:val="clear" w:color="auto" w:fill="auto"/>
            <w:noWrap/>
            <w:vAlign w:val="bottom"/>
          </w:tcPr>
          <w:p w14:paraId="6AE9E3BD" w14:textId="77777777" w:rsidR="00D26C09" w:rsidRPr="008927F8" w:rsidRDefault="00D26C09" w:rsidP="00140712">
            <w:pPr>
              <w:widowControl/>
              <w:rPr>
                <w:sz w:val="20"/>
              </w:rPr>
            </w:pPr>
            <w:r w:rsidRPr="008927F8">
              <w:rPr>
                <w:sz w:val="20"/>
              </w:rPr>
              <w:t>Geological consultants</w:t>
            </w:r>
          </w:p>
        </w:tc>
        <w:tc>
          <w:tcPr>
            <w:tcW w:w="1659" w:type="dxa"/>
            <w:tcBorders>
              <w:left w:val="nil"/>
              <w:right w:val="nil"/>
            </w:tcBorders>
            <w:shd w:val="clear" w:color="auto" w:fill="auto"/>
            <w:vAlign w:val="bottom"/>
          </w:tcPr>
          <w:p w14:paraId="29D2BEDA" w14:textId="5D6DC08C" w:rsidR="00D26C09" w:rsidRPr="008927F8" w:rsidRDefault="00D26C09" w:rsidP="00140712">
            <w:pPr>
              <w:widowControl/>
              <w:jc w:val="right"/>
              <w:rPr>
                <w:sz w:val="20"/>
              </w:rPr>
            </w:pPr>
            <w:r>
              <w:rPr>
                <w:sz w:val="20"/>
              </w:rPr>
              <w:t>79</w:t>
            </w:r>
            <w:r w:rsidR="00CA21E4">
              <w:rPr>
                <w:sz w:val="20"/>
              </w:rPr>
              <w:t>,</w:t>
            </w:r>
            <w:r>
              <w:rPr>
                <w:sz w:val="20"/>
              </w:rPr>
              <w:t>375</w:t>
            </w:r>
            <w:r w:rsidRPr="008927F8">
              <w:rPr>
                <w:sz w:val="20"/>
              </w:rPr>
              <w:t xml:space="preserve"> </w:t>
            </w:r>
          </w:p>
        </w:tc>
      </w:tr>
      <w:tr w:rsidR="00D26C09" w:rsidRPr="000206BE" w14:paraId="0E05A3D8" w14:textId="77777777" w:rsidTr="00140712">
        <w:trPr>
          <w:trHeight w:val="288"/>
        </w:trPr>
        <w:tc>
          <w:tcPr>
            <w:tcW w:w="7218" w:type="dxa"/>
            <w:tcBorders>
              <w:top w:val="single" w:sz="4" w:space="0" w:color="auto"/>
              <w:left w:val="nil"/>
              <w:bottom w:val="double" w:sz="4" w:space="0" w:color="auto"/>
              <w:right w:val="nil"/>
            </w:tcBorders>
            <w:shd w:val="clear" w:color="auto" w:fill="auto"/>
            <w:noWrap/>
            <w:vAlign w:val="bottom"/>
          </w:tcPr>
          <w:p w14:paraId="203CB75C" w14:textId="061B3AD3" w:rsidR="00D26C09" w:rsidRPr="008927F8" w:rsidRDefault="00D26C09" w:rsidP="00140712">
            <w:pPr>
              <w:widowControl/>
              <w:rPr>
                <w:b/>
                <w:sz w:val="20"/>
              </w:rPr>
            </w:pPr>
            <w:r w:rsidRPr="008927F8">
              <w:rPr>
                <w:b/>
                <w:sz w:val="20"/>
              </w:rPr>
              <w:t xml:space="preserve">As at </w:t>
            </w:r>
            <w:r>
              <w:rPr>
                <w:b/>
                <w:sz w:val="20"/>
              </w:rPr>
              <w:t>June 30</w:t>
            </w:r>
            <w:r w:rsidRPr="008927F8">
              <w:rPr>
                <w:b/>
                <w:sz w:val="20"/>
              </w:rPr>
              <w:t>, 2020</w:t>
            </w:r>
          </w:p>
        </w:tc>
        <w:tc>
          <w:tcPr>
            <w:tcW w:w="1659" w:type="dxa"/>
            <w:tcBorders>
              <w:top w:val="single" w:sz="4" w:space="0" w:color="auto"/>
              <w:left w:val="nil"/>
              <w:bottom w:val="double" w:sz="4" w:space="0" w:color="auto"/>
              <w:right w:val="nil"/>
            </w:tcBorders>
            <w:shd w:val="clear" w:color="auto" w:fill="auto"/>
            <w:vAlign w:val="bottom"/>
          </w:tcPr>
          <w:p w14:paraId="5452F81F" w14:textId="542AF447" w:rsidR="00D26C09" w:rsidRPr="008927F8" w:rsidRDefault="00D26C09" w:rsidP="00140712">
            <w:pPr>
              <w:widowControl/>
              <w:jc w:val="right"/>
              <w:rPr>
                <w:b/>
                <w:sz w:val="20"/>
              </w:rPr>
            </w:pPr>
            <w:r>
              <w:rPr>
                <w:b/>
                <w:sz w:val="20"/>
              </w:rPr>
              <w:t>79,438</w:t>
            </w:r>
          </w:p>
        </w:tc>
      </w:tr>
    </w:tbl>
    <w:p w14:paraId="483095C1" w14:textId="77777777" w:rsidR="00D26C09" w:rsidRDefault="00D26C09" w:rsidP="0052677E">
      <w:pPr>
        <w:spacing w:before="120" w:after="120"/>
        <w:ind w:left="432"/>
        <w:jc w:val="both"/>
        <w:rPr>
          <w:sz w:val="20"/>
        </w:rPr>
      </w:pPr>
    </w:p>
    <w:p w14:paraId="625AA07A" w14:textId="77777777" w:rsidR="00D26C09" w:rsidRDefault="00D26C09" w:rsidP="0052677E">
      <w:pPr>
        <w:spacing w:before="120" w:after="120"/>
        <w:ind w:left="432"/>
        <w:jc w:val="both"/>
        <w:rPr>
          <w:sz w:val="20"/>
        </w:rPr>
      </w:pPr>
    </w:p>
    <w:p w14:paraId="181A3506" w14:textId="77777777" w:rsidR="00D26C09" w:rsidRDefault="00D26C09" w:rsidP="0052677E">
      <w:pPr>
        <w:spacing w:before="120" w:after="120"/>
        <w:ind w:left="432"/>
        <w:jc w:val="both"/>
        <w:rPr>
          <w:sz w:val="20"/>
        </w:rPr>
      </w:pPr>
    </w:p>
    <w:p w14:paraId="451F4997" w14:textId="77777777" w:rsidR="00D26C09" w:rsidRDefault="00D26C09" w:rsidP="0052677E">
      <w:pPr>
        <w:spacing w:before="120" w:after="120"/>
        <w:ind w:left="432"/>
        <w:jc w:val="both"/>
        <w:rPr>
          <w:sz w:val="20"/>
        </w:rPr>
      </w:pPr>
    </w:p>
    <w:p w14:paraId="126247F0" w14:textId="099982E9" w:rsidR="00D41076" w:rsidRPr="0052677E" w:rsidRDefault="00D41076" w:rsidP="0052677E">
      <w:pPr>
        <w:spacing w:before="120" w:after="120"/>
        <w:ind w:left="432"/>
        <w:jc w:val="both"/>
        <w:rPr>
          <w:sz w:val="20"/>
        </w:rPr>
      </w:pPr>
      <w:r w:rsidRPr="0052677E">
        <w:rPr>
          <w:sz w:val="20"/>
        </w:rPr>
        <w:lastRenderedPageBreak/>
        <w:t>The following table provides a breakdown of exploration and evaluation activity</w:t>
      </w:r>
      <w:r w:rsidR="006F10CA" w:rsidRPr="0052677E">
        <w:rPr>
          <w:sz w:val="20"/>
        </w:rPr>
        <w:t xml:space="preserve"> of the </w:t>
      </w:r>
      <w:proofErr w:type="spellStart"/>
      <w:r w:rsidR="006F10CA" w:rsidRPr="0052677E">
        <w:rPr>
          <w:sz w:val="20"/>
        </w:rPr>
        <w:t>Meguma</w:t>
      </w:r>
      <w:proofErr w:type="spellEnd"/>
      <w:r w:rsidR="006F10CA" w:rsidRPr="0052677E">
        <w:rPr>
          <w:sz w:val="20"/>
        </w:rPr>
        <w:t xml:space="preserve"> Project</w:t>
      </w:r>
      <w:r w:rsidRPr="0052677E">
        <w:rPr>
          <w:sz w:val="20"/>
        </w:rPr>
        <w:t xml:space="preserve"> during the year ended March 31, 20</w:t>
      </w:r>
      <w:r w:rsidR="005A78C4" w:rsidRPr="0052677E">
        <w:rPr>
          <w:sz w:val="20"/>
        </w:rPr>
        <w:t>20</w:t>
      </w:r>
      <w:r w:rsidR="00E67819" w:rsidRPr="0052677E">
        <w:rPr>
          <w:sz w:val="20"/>
        </w:rPr>
        <w:t xml:space="preserve"> </w:t>
      </w:r>
      <w:r w:rsidR="004F2C2E" w:rsidRPr="0052677E">
        <w:rPr>
          <w:sz w:val="20"/>
        </w:rPr>
        <w:t>(note 4)</w:t>
      </w:r>
      <w:r w:rsidRPr="0052677E">
        <w:rPr>
          <w:sz w:val="20"/>
        </w:rPr>
        <w:t>:</w:t>
      </w:r>
    </w:p>
    <w:tbl>
      <w:tblPr>
        <w:tblW w:w="8877" w:type="dxa"/>
        <w:tblInd w:w="450" w:type="dxa"/>
        <w:tblLayout w:type="fixed"/>
        <w:tblLook w:val="04A0" w:firstRow="1" w:lastRow="0" w:firstColumn="1" w:lastColumn="0" w:noHBand="0" w:noVBand="1"/>
      </w:tblPr>
      <w:tblGrid>
        <w:gridCol w:w="7218"/>
        <w:gridCol w:w="1659"/>
      </w:tblGrid>
      <w:tr w:rsidR="006F10CA" w:rsidRPr="008927F8" w14:paraId="57EF48B3" w14:textId="77777777" w:rsidTr="0052677E">
        <w:trPr>
          <w:trHeight w:val="90"/>
        </w:trPr>
        <w:tc>
          <w:tcPr>
            <w:tcW w:w="7218" w:type="dxa"/>
            <w:tcBorders>
              <w:top w:val="double" w:sz="4" w:space="0" w:color="auto"/>
              <w:left w:val="nil"/>
              <w:right w:val="nil"/>
            </w:tcBorders>
            <w:shd w:val="clear" w:color="auto" w:fill="auto"/>
            <w:noWrap/>
            <w:vAlign w:val="bottom"/>
            <w:hideMark/>
          </w:tcPr>
          <w:p w14:paraId="5F6E8F83" w14:textId="77777777" w:rsidR="006F10CA" w:rsidRPr="008927F8" w:rsidRDefault="006F10CA" w:rsidP="008927F8">
            <w:pPr>
              <w:widowControl/>
              <w:rPr>
                <w:sz w:val="20"/>
              </w:rPr>
            </w:pPr>
            <w:r w:rsidRPr="008927F8">
              <w:rPr>
                <w:sz w:val="20"/>
              </w:rPr>
              <w:t> </w:t>
            </w:r>
          </w:p>
        </w:tc>
        <w:tc>
          <w:tcPr>
            <w:tcW w:w="1659" w:type="dxa"/>
            <w:tcBorders>
              <w:top w:val="double" w:sz="4" w:space="0" w:color="auto"/>
              <w:left w:val="nil"/>
              <w:right w:val="nil"/>
            </w:tcBorders>
            <w:vAlign w:val="bottom"/>
          </w:tcPr>
          <w:p w14:paraId="2F847FD0" w14:textId="77777777" w:rsidR="006F10CA" w:rsidRPr="008927F8" w:rsidRDefault="006F10CA" w:rsidP="008927F8">
            <w:pPr>
              <w:widowControl/>
              <w:jc w:val="right"/>
              <w:rPr>
                <w:b/>
                <w:bCs/>
                <w:sz w:val="20"/>
              </w:rPr>
            </w:pPr>
            <w:proofErr w:type="spellStart"/>
            <w:r w:rsidRPr="008927F8">
              <w:rPr>
                <w:b/>
                <w:bCs/>
                <w:sz w:val="20"/>
              </w:rPr>
              <w:t>Meguma</w:t>
            </w:r>
            <w:proofErr w:type="spellEnd"/>
            <w:r w:rsidRPr="008927F8">
              <w:rPr>
                <w:b/>
                <w:bCs/>
                <w:sz w:val="20"/>
              </w:rPr>
              <w:t xml:space="preserve"> </w:t>
            </w:r>
          </w:p>
          <w:p w14:paraId="092825A2" w14:textId="77777777" w:rsidR="006F10CA" w:rsidRPr="008927F8" w:rsidRDefault="006F10CA" w:rsidP="008927F8">
            <w:pPr>
              <w:widowControl/>
              <w:jc w:val="right"/>
              <w:rPr>
                <w:b/>
                <w:bCs/>
                <w:sz w:val="20"/>
              </w:rPr>
            </w:pPr>
            <w:r w:rsidRPr="008927F8">
              <w:rPr>
                <w:b/>
                <w:bCs/>
                <w:sz w:val="20"/>
              </w:rPr>
              <w:t>Project</w:t>
            </w:r>
          </w:p>
          <w:p w14:paraId="64386DDF" w14:textId="77777777" w:rsidR="006F10CA" w:rsidRPr="008927F8" w:rsidRDefault="006F10CA" w:rsidP="008927F8">
            <w:pPr>
              <w:widowControl/>
              <w:jc w:val="right"/>
              <w:rPr>
                <w:b/>
                <w:bCs/>
                <w:sz w:val="20"/>
              </w:rPr>
            </w:pPr>
            <w:r w:rsidRPr="008927F8">
              <w:rPr>
                <w:b/>
                <w:bCs/>
                <w:sz w:val="20"/>
              </w:rPr>
              <w:t xml:space="preserve"> $</w:t>
            </w:r>
          </w:p>
        </w:tc>
      </w:tr>
      <w:tr w:rsidR="00C2667A" w:rsidRPr="008927F8" w14:paraId="70FD83D3" w14:textId="77777777" w:rsidTr="0052677E">
        <w:trPr>
          <w:trHeight w:val="288"/>
        </w:trPr>
        <w:tc>
          <w:tcPr>
            <w:tcW w:w="7218" w:type="dxa"/>
            <w:tcBorders>
              <w:top w:val="single" w:sz="4" w:space="0" w:color="auto"/>
              <w:left w:val="nil"/>
              <w:right w:val="nil"/>
            </w:tcBorders>
            <w:shd w:val="clear" w:color="auto" w:fill="auto"/>
            <w:noWrap/>
            <w:vAlign w:val="bottom"/>
          </w:tcPr>
          <w:p w14:paraId="3E868E2E" w14:textId="0E0F104B" w:rsidR="00C2667A" w:rsidRPr="008927F8" w:rsidRDefault="00C2667A" w:rsidP="00C2667A">
            <w:pPr>
              <w:widowControl/>
              <w:rPr>
                <w:sz w:val="20"/>
              </w:rPr>
            </w:pPr>
            <w:r w:rsidRPr="008927F8">
              <w:rPr>
                <w:sz w:val="20"/>
              </w:rPr>
              <w:t>Assaying</w:t>
            </w:r>
            <w:r>
              <w:rPr>
                <w:sz w:val="20"/>
              </w:rPr>
              <w:t xml:space="preserve"> and others </w:t>
            </w:r>
          </w:p>
        </w:tc>
        <w:tc>
          <w:tcPr>
            <w:tcW w:w="1659" w:type="dxa"/>
            <w:tcBorders>
              <w:top w:val="single" w:sz="4" w:space="0" w:color="auto"/>
              <w:left w:val="nil"/>
              <w:right w:val="nil"/>
            </w:tcBorders>
            <w:shd w:val="clear" w:color="auto" w:fill="auto"/>
            <w:vAlign w:val="bottom"/>
          </w:tcPr>
          <w:p w14:paraId="4B094650" w14:textId="72F0B81A" w:rsidR="00C2667A" w:rsidRPr="008927F8" w:rsidRDefault="00C2667A" w:rsidP="00C2667A">
            <w:pPr>
              <w:widowControl/>
              <w:jc w:val="right"/>
              <w:rPr>
                <w:sz w:val="20"/>
              </w:rPr>
            </w:pPr>
            <w:r>
              <w:rPr>
                <w:sz w:val="20"/>
              </w:rPr>
              <w:t>180,600</w:t>
            </w:r>
            <w:r w:rsidRPr="008927F8">
              <w:rPr>
                <w:sz w:val="20"/>
              </w:rPr>
              <w:t xml:space="preserve"> </w:t>
            </w:r>
          </w:p>
        </w:tc>
      </w:tr>
      <w:tr w:rsidR="006F10CA" w:rsidRPr="008927F8" w14:paraId="67759735" w14:textId="77777777" w:rsidTr="0052677E">
        <w:trPr>
          <w:trHeight w:val="288"/>
        </w:trPr>
        <w:tc>
          <w:tcPr>
            <w:tcW w:w="7218" w:type="dxa"/>
            <w:tcBorders>
              <w:left w:val="nil"/>
              <w:right w:val="nil"/>
            </w:tcBorders>
            <w:shd w:val="clear" w:color="auto" w:fill="auto"/>
            <w:noWrap/>
            <w:vAlign w:val="bottom"/>
          </w:tcPr>
          <w:p w14:paraId="362E6AB7" w14:textId="77777777" w:rsidR="006F10CA" w:rsidRPr="008927F8" w:rsidRDefault="006F10CA" w:rsidP="008927F8">
            <w:pPr>
              <w:widowControl/>
              <w:rPr>
                <w:sz w:val="20"/>
              </w:rPr>
            </w:pPr>
            <w:r w:rsidRPr="008927F8">
              <w:rPr>
                <w:sz w:val="20"/>
              </w:rPr>
              <w:t>Supplies</w:t>
            </w:r>
          </w:p>
        </w:tc>
        <w:tc>
          <w:tcPr>
            <w:tcW w:w="1659" w:type="dxa"/>
            <w:tcBorders>
              <w:left w:val="nil"/>
              <w:right w:val="nil"/>
            </w:tcBorders>
            <w:shd w:val="clear" w:color="auto" w:fill="auto"/>
            <w:vAlign w:val="bottom"/>
          </w:tcPr>
          <w:p w14:paraId="2DC0C327" w14:textId="35E2A02E" w:rsidR="006F10CA" w:rsidRPr="008927F8" w:rsidRDefault="006F10CA" w:rsidP="0052677E">
            <w:pPr>
              <w:widowControl/>
              <w:jc w:val="right"/>
              <w:rPr>
                <w:sz w:val="20"/>
              </w:rPr>
            </w:pPr>
            <w:r w:rsidRPr="008927F8">
              <w:rPr>
                <w:sz w:val="20"/>
              </w:rPr>
              <w:t xml:space="preserve">91,194 </w:t>
            </w:r>
          </w:p>
        </w:tc>
      </w:tr>
      <w:tr w:rsidR="006F10CA" w:rsidRPr="008927F8" w14:paraId="6566D750" w14:textId="77777777" w:rsidTr="0052677E">
        <w:trPr>
          <w:trHeight w:val="288"/>
        </w:trPr>
        <w:tc>
          <w:tcPr>
            <w:tcW w:w="7218" w:type="dxa"/>
            <w:tcBorders>
              <w:left w:val="nil"/>
              <w:right w:val="nil"/>
            </w:tcBorders>
            <w:shd w:val="clear" w:color="auto" w:fill="auto"/>
            <w:noWrap/>
            <w:vAlign w:val="bottom"/>
          </w:tcPr>
          <w:p w14:paraId="2536CB42" w14:textId="77777777" w:rsidR="006F10CA" w:rsidRPr="008927F8" w:rsidRDefault="006F10CA" w:rsidP="008927F8">
            <w:pPr>
              <w:widowControl/>
              <w:rPr>
                <w:sz w:val="20"/>
              </w:rPr>
            </w:pPr>
            <w:r w:rsidRPr="008927F8">
              <w:rPr>
                <w:sz w:val="20"/>
              </w:rPr>
              <w:t>Drilling</w:t>
            </w:r>
          </w:p>
        </w:tc>
        <w:tc>
          <w:tcPr>
            <w:tcW w:w="1659" w:type="dxa"/>
            <w:tcBorders>
              <w:left w:val="nil"/>
              <w:right w:val="nil"/>
            </w:tcBorders>
            <w:shd w:val="clear" w:color="auto" w:fill="auto"/>
            <w:vAlign w:val="bottom"/>
          </w:tcPr>
          <w:p w14:paraId="4220783F" w14:textId="5227C5E6" w:rsidR="006F10CA" w:rsidRPr="008927F8" w:rsidRDefault="006F10CA" w:rsidP="0052677E">
            <w:pPr>
              <w:widowControl/>
              <w:jc w:val="right"/>
              <w:rPr>
                <w:sz w:val="20"/>
              </w:rPr>
            </w:pPr>
            <w:r w:rsidRPr="008927F8">
              <w:rPr>
                <w:sz w:val="20"/>
              </w:rPr>
              <w:t xml:space="preserve">172,838 </w:t>
            </w:r>
          </w:p>
        </w:tc>
      </w:tr>
      <w:tr w:rsidR="006F10CA" w:rsidRPr="008927F8" w14:paraId="534FDA33" w14:textId="77777777" w:rsidTr="0052677E">
        <w:trPr>
          <w:trHeight w:val="288"/>
        </w:trPr>
        <w:tc>
          <w:tcPr>
            <w:tcW w:w="7218" w:type="dxa"/>
            <w:tcBorders>
              <w:left w:val="nil"/>
              <w:right w:val="nil"/>
            </w:tcBorders>
            <w:shd w:val="clear" w:color="auto" w:fill="auto"/>
            <w:noWrap/>
            <w:vAlign w:val="bottom"/>
          </w:tcPr>
          <w:p w14:paraId="355EFAD2" w14:textId="77777777" w:rsidR="006F10CA" w:rsidRPr="008927F8" w:rsidRDefault="006F10CA" w:rsidP="008927F8">
            <w:pPr>
              <w:widowControl/>
              <w:rPr>
                <w:sz w:val="20"/>
              </w:rPr>
            </w:pPr>
            <w:r w:rsidRPr="008927F8">
              <w:rPr>
                <w:sz w:val="20"/>
              </w:rPr>
              <w:t>Geological consultants</w:t>
            </w:r>
          </w:p>
        </w:tc>
        <w:tc>
          <w:tcPr>
            <w:tcW w:w="1659" w:type="dxa"/>
            <w:tcBorders>
              <w:left w:val="nil"/>
              <w:right w:val="nil"/>
            </w:tcBorders>
            <w:shd w:val="clear" w:color="auto" w:fill="auto"/>
            <w:vAlign w:val="bottom"/>
          </w:tcPr>
          <w:p w14:paraId="17C90D34" w14:textId="5ADFE371" w:rsidR="006F10CA" w:rsidRPr="008927F8" w:rsidRDefault="006F10CA" w:rsidP="0052677E">
            <w:pPr>
              <w:widowControl/>
              <w:jc w:val="right"/>
              <w:rPr>
                <w:sz w:val="20"/>
              </w:rPr>
            </w:pPr>
            <w:r w:rsidRPr="008927F8">
              <w:rPr>
                <w:sz w:val="20"/>
              </w:rPr>
              <w:t xml:space="preserve">37,038 </w:t>
            </w:r>
          </w:p>
        </w:tc>
      </w:tr>
      <w:tr w:rsidR="006F10CA" w:rsidRPr="008927F8" w14:paraId="097786EB" w14:textId="77777777" w:rsidTr="0052677E">
        <w:trPr>
          <w:trHeight w:val="288"/>
        </w:trPr>
        <w:tc>
          <w:tcPr>
            <w:tcW w:w="7218" w:type="dxa"/>
            <w:tcBorders>
              <w:left w:val="nil"/>
              <w:right w:val="nil"/>
            </w:tcBorders>
            <w:shd w:val="clear" w:color="auto" w:fill="auto"/>
            <w:noWrap/>
            <w:vAlign w:val="bottom"/>
          </w:tcPr>
          <w:p w14:paraId="3972A5BA" w14:textId="77777777" w:rsidR="006F10CA" w:rsidRPr="008927F8" w:rsidRDefault="006F10CA" w:rsidP="008927F8">
            <w:pPr>
              <w:widowControl/>
              <w:rPr>
                <w:sz w:val="20"/>
              </w:rPr>
            </w:pPr>
            <w:r w:rsidRPr="008927F8">
              <w:rPr>
                <w:sz w:val="20"/>
              </w:rPr>
              <w:t>Geological surveying</w:t>
            </w:r>
          </w:p>
        </w:tc>
        <w:tc>
          <w:tcPr>
            <w:tcW w:w="1659" w:type="dxa"/>
            <w:tcBorders>
              <w:left w:val="nil"/>
              <w:right w:val="nil"/>
            </w:tcBorders>
            <w:shd w:val="clear" w:color="auto" w:fill="auto"/>
            <w:vAlign w:val="bottom"/>
          </w:tcPr>
          <w:p w14:paraId="7E4CAA2E" w14:textId="4B3403D3" w:rsidR="006F10CA" w:rsidRPr="008927F8" w:rsidRDefault="0002351B" w:rsidP="0052677E">
            <w:pPr>
              <w:widowControl/>
              <w:jc w:val="right"/>
              <w:rPr>
                <w:sz w:val="20"/>
              </w:rPr>
            </w:pPr>
            <w:r>
              <w:rPr>
                <w:sz w:val="20"/>
              </w:rPr>
              <w:t>857,311</w:t>
            </w:r>
            <w:r w:rsidR="006F10CA" w:rsidRPr="008927F8">
              <w:rPr>
                <w:sz w:val="20"/>
              </w:rPr>
              <w:t xml:space="preserve"> </w:t>
            </w:r>
          </w:p>
        </w:tc>
      </w:tr>
      <w:tr w:rsidR="006F10CA" w:rsidRPr="000206BE" w14:paraId="3301CC6B" w14:textId="77777777" w:rsidTr="0052677E">
        <w:trPr>
          <w:trHeight w:val="288"/>
        </w:trPr>
        <w:tc>
          <w:tcPr>
            <w:tcW w:w="7218" w:type="dxa"/>
            <w:tcBorders>
              <w:top w:val="single" w:sz="4" w:space="0" w:color="auto"/>
              <w:left w:val="nil"/>
              <w:bottom w:val="double" w:sz="4" w:space="0" w:color="auto"/>
              <w:right w:val="nil"/>
            </w:tcBorders>
            <w:shd w:val="clear" w:color="auto" w:fill="auto"/>
            <w:noWrap/>
            <w:vAlign w:val="bottom"/>
          </w:tcPr>
          <w:p w14:paraId="497F9135" w14:textId="391E8D52" w:rsidR="006F10CA" w:rsidRPr="008927F8" w:rsidRDefault="006F10CA" w:rsidP="008927F8">
            <w:pPr>
              <w:widowControl/>
              <w:rPr>
                <w:b/>
                <w:sz w:val="20"/>
              </w:rPr>
            </w:pPr>
            <w:r w:rsidRPr="008927F8">
              <w:rPr>
                <w:b/>
                <w:sz w:val="20"/>
              </w:rPr>
              <w:t>As at March 31, 2020</w:t>
            </w:r>
          </w:p>
        </w:tc>
        <w:tc>
          <w:tcPr>
            <w:tcW w:w="1659" w:type="dxa"/>
            <w:tcBorders>
              <w:top w:val="single" w:sz="4" w:space="0" w:color="auto"/>
              <w:left w:val="nil"/>
              <w:bottom w:val="double" w:sz="4" w:space="0" w:color="auto"/>
              <w:right w:val="nil"/>
            </w:tcBorders>
            <w:shd w:val="clear" w:color="auto" w:fill="auto"/>
            <w:vAlign w:val="bottom"/>
          </w:tcPr>
          <w:p w14:paraId="3DF26A13" w14:textId="2583812F" w:rsidR="006F10CA" w:rsidRPr="008927F8" w:rsidRDefault="0002351B" w:rsidP="0052677E">
            <w:pPr>
              <w:widowControl/>
              <w:jc w:val="right"/>
              <w:rPr>
                <w:b/>
                <w:sz w:val="20"/>
              </w:rPr>
            </w:pPr>
            <w:r>
              <w:rPr>
                <w:b/>
                <w:sz w:val="20"/>
              </w:rPr>
              <w:t>1,338,981</w:t>
            </w:r>
          </w:p>
        </w:tc>
      </w:tr>
      <w:bookmarkEnd w:id="7"/>
    </w:tbl>
    <w:p w14:paraId="4D932278" w14:textId="77777777" w:rsidR="00C2667A" w:rsidRDefault="00C2667A" w:rsidP="00D26C09">
      <w:pPr>
        <w:autoSpaceDE w:val="0"/>
        <w:autoSpaceDN w:val="0"/>
        <w:adjustRightInd w:val="0"/>
        <w:ind w:left="425" w:hanging="425"/>
        <w:jc w:val="both"/>
        <w:rPr>
          <w:b/>
          <w:spacing w:val="-2"/>
          <w:sz w:val="20"/>
        </w:rPr>
      </w:pPr>
    </w:p>
    <w:p w14:paraId="1B23ECCD" w14:textId="036B7C7B" w:rsidR="00F65ABA" w:rsidRPr="0052677E" w:rsidRDefault="0052677E" w:rsidP="0052677E">
      <w:pPr>
        <w:autoSpaceDE w:val="0"/>
        <w:autoSpaceDN w:val="0"/>
        <w:adjustRightInd w:val="0"/>
        <w:spacing w:before="120"/>
        <w:ind w:left="425" w:hanging="425"/>
        <w:jc w:val="both"/>
        <w:rPr>
          <w:b/>
          <w:spacing w:val="-2"/>
          <w:sz w:val="20"/>
        </w:rPr>
      </w:pPr>
      <w:r>
        <w:rPr>
          <w:b/>
          <w:spacing w:val="-2"/>
          <w:sz w:val="20"/>
        </w:rPr>
        <w:t>6.</w:t>
      </w:r>
      <w:r>
        <w:rPr>
          <w:b/>
          <w:spacing w:val="-2"/>
          <w:sz w:val="20"/>
        </w:rPr>
        <w:tab/>
      </w:r>
      <w:r w:rsidR="00BA13D5" w:rsidRPr="0052677E">
        <w:rPr>
          <w:b/>
          <w:spacing w:val="-2"/>
          <w:sz w:val="20"/>
        </w:rPr>
        <w:t>Accounts payable</w:t>
      </w:r>
      <w:r w:rsidR="00F65ABA" w:rsidRPr="0052677E">
        <w:rPr>
          <w:b/>
          <w:spacing w:val="-2"/>
          <w:sz w:val="20"/>
        </w:rPr>
        <w:t xml:space="preserve"> and accrued liabilities</w:t>
      </w:r>
    </w:p>
    <w:p w14:paraId="4C40434C" w14:textId="77777777" w:rsidR="00E13F16" w:rsidRPr="000206BE" w:rsidRDefault="00E13F16" w:rsidP="001F338D">
      <w:pPr>
        <w:pStyle w:val="Normal2B"/>
        <w:widowControl/>
        <w:autoSpaceDE w:val="0"/>
        <w:autoSpaceDN w:val="0"/>
        <w:adjustRightInd w:val="0"/>
        <w:ind w:left="450"/>
        <w:rPr>
          <w:rFonts w:ascii="Times New Roman" w:hAnsi="Times New Roman"/>
          <w:caps w:val="0"/>
          <w:spacing w:val="0"/>
          <w:sz w:val="20"/>
          <w:lang w:val="en-US"/>
        </w:rPr>
      </w:pPr>
    </w:p>
    <w:tbl>
      <w:tblPr>
        <w:tblW w:w="8901" w:type="dxa"/>
        <w:tblInd w:w="450" w:type="dxa"/>
        <w:tblLayout w:type="fixed"/>
        <w:tblLook w:val="04A0" w:firstRow="1" w:lastRow="0" w:firstColumn="1" w:lastColumn="0" w:noHBand="0" w:noVBand="1"/>
      </w:tblPr>
      <w:tblGrid>
        <w:gridCol w:w="5400"/>
        <w:gridCol w:w="1750"/>
        <w:gridCol w:w="1751"/>
      </w:tblGrid>
      <w:tr w:rsidR="005A78C4" w:rsidRPr="005A78C4" w14:paraId="11079076" w14:textId="77777777" w:rsidTr="0052677E">
        <w:trPr>
          <w:trHeight w:val="202"/>
        </w:trPr>
        <w:tc>
          <w:tcPr>
            <w:tcW w:w="5400" w:type="dxa"/>
            <w:tcBorders>
              <w:top w:val="double" w:sz="4" w:space="0" w:color="auto"/>
              <w:left w:val="nil"/>
              <w:bottom w:val="single" w:sz="4" w:space="0" w:color="auto"/>
              <w:right w:val="nil"/>
            </w:tcBorders>
            <w:shd w:val="clear" w:color="auto" w:fill="auto"/>
            <w:noWrap/>
            <w:vAlign w:val="bottom"/>
            <w:hideMark/>
          </w:tcPr>
          <w:p w14:paraId="586297BE" w14:textId="77777777" w:rsidR="005A78C4" w:rsidRPr="000206BE" w:rsidRDefault="005A78C4" w:rsidP="005A78C4">
            <w:pPr>
              <w:widowControl/>
              <w:rPr>
                <w:sz w:val="20"/>
              </w:rPr>
            </w:pPr>
            <w:r w:rsidRPr="000206BE">
              <w:rPr>
                <w:sz w:val="20"/>
              </w:rPr>
              <w:t> </w:t>
            </w:r>
          </w:p>
        </w:tc>
        <w:tc>
          <w:tcPr>
            <w:tcW w:w="1750" w:type="dxa"/>
            <w:tcBorders>
              <w:top w:val="double" w:sz="4" w:space="0" w:color="auto"/>
              <w:left w:val="nil"/>
              <w:bottom w:val="single" w:sz="4" w:space="0" w:color="auto"/>
              <w:right w:val="nil"/>
            </w:tcBorders>
            <w:shd w:val="clear" w:color="auto" w:fill="auto"/>
            <w:vAlign w:val="bottom"/>
            <w:hideMark/>
          </w:tcPr>
          <w:p w14:paraId="59644BC2" w14:textId="6364D386" w:rsidR="005A78C4" w:rsidRPr="000206BE" w:rsidRDefault="00317D7C" w:rsidP="005A78C4">
            <w:pPr>
              <w:widowControl/>
              <w:jc w:val="right"/>
              <w:rPr>
                <w:b/>
                <w:bCs/>
                <w:sz w:val="20"/>
              </w:rPr>
            </w:pPr>
            <w:r>
              <w:rPr>
                <w:b/>
                <w:bCs/>
                <w:sz w:val="20"/>
              </w:rPr>
              <w:t>June 30</w:t>
            </w:r>
            <w:r w:rsidR="005A78C4" w:rsidRPr="000206BE">
              <w:rPr>
                <w:b/>
                <w:bCs/>
                <w:sz w:val="20"/>
              </w:rPr>
              <w:t>,</w:t>
            </w:r>
          </w:p>
          <w:p w14:paraId="77BB355A" w14:textId="13E1C478" w:rsidR="005A78C4" w:rsidRPr="000206BE" w:rsidRDefault="005A78C4" w:rsidP="005A78C4">
            <w:pPr>
              <w:widowControl/>
              <w:jc w:val="right"/>
              <w:rPr>
                <w:b/>
                <w:bCs/>
                <w:sz w:val="20"/>
              </w:rPr>
            </w:pPr>
            <w:r w:rsidRPr="000206BE">
              <w:rPr>
                <w:b/>
                <w:bCs/>
                <w:sz w:val="20"/>
              </w:rPr>
              <w:t xml:space="preserve"> 20</w:t>
            </w:r>
            <w:r w:rsidR="003F6C39">
              <w:rPr>
                <w:b/>
                <w:bCs/>
                <w:sz w:val="20"/>
              </w:rPr>
              <w:t>20</w:t>
            </w:r>
          </w:p>
          <w:p w14:paraId="63FAC2C4" w14:textId="77777777" w:rsidR="005A78C4" w:rsidRPr="000206BE" w:rsidRDefault="005A78C4" w:rsidP="005A78C4">
            <w:pPr>
              <w:widowControl/>
              <w:jc w:val="right"/>
              <w:rPr>
                <w:b/>
                <w:bCs/>
                <w:sz w:val="20"/>
              </w:rPr>
            </w:pPr>
            <w:r w:rsidRPr="000206BE">
              <w:rPr>
                <w:b/>
                <w:bCs/>
                <w:sz w:val="20"/>
              </w:rPr>
              <w:t xml:space="preserve">$ </w:t>
            </w:r>
          </w:p>
        </w:tc>
        <w:tc>
          <w:tcPr>
            <w:tcW w:w="1751" w:type="dxa"/>
            <w:tcBorders>
              <w:top w:val="double" w:sz="4" w:space="0" w:color="auto"/>
              <w:left w:val="nil"/>
              <w:bottom w:val="single" w:sz="4" w:space="0" w:color="auto"/>
              <w:right w:val="nil"/>
            </w:tcBorders>
            <w:vAlign w:val="bottom"/>
          </w:tcPr>
          <w:p w14:paraId="48B9C37F" w14:textId="77777777" w:rsidR="005A78C4" w:rsidRPr="005A78C4" w:rsidRDefault="005A78C4" w:rsidP="005A78C4">
            <w:pPr>
              <w:widowControl/>
              <w:jc w:val="right"/>
              <w:rPr>
                <w:sz w:val="20"/>
              </w:rPr>
            </w:pPr>
            <w:r w:rsidRPr="005A78C4">
              <w:rPr>
                <w:sz w:val="20"/>
              </w:rPr>
              <w:t>March 31,</w:t>
            </w:r>
          </w:p>
          <w:p w14:paraId="198DB801" w14:textId="07571A6E" w:rsidR="005A78C4" w:rsidRPr="005A78C4" w:rsidRDefault="005A78C4" w:rsidP="005A78C4">
            <w:pPr>
              <w:widowControl/>
              <w:jc w:val="right"/>
              <w:rPr>
                <w:sz w:val="20"/>
              </w:rPr>
            </w:pPr>
            <w:r w:rsidRPr="005A78C4">
              <w:rPr>
                <w:sz w:val="20"/>
              </w:rPr>
              <w:t xml:space="preserve"> 20</w:t>
            </w:r>
            <w:r w:rsidR="00325F95">
              <w:rPr>
                <w:sz w:val="20"/>
              </w:rPr>
              <w:t>20</w:t>
            </w:r>
          </w:p>
          <w:p w14:paraId="5160FE45" w14:textId="5899DDF1" w:rsidR="005A78C4" w:rsidRPr="005A78C4" w:rsidRDefault="005A78C4" w:rsidP="005A78C4">
            <w:pPr>
              <w:widowControl/>
              <w:jc w:val="right"/>
              <w:rPr>
                <w:sz w:val="20"/>
              </w:rPr>
            </w:pPr>
            <w:r w:rsidRPr="005A78C4">
              <w:rPr>
                <w:sz w:val="20"/>
              </w:rPr>
              <w:t xml:space="preserve">$ </w:t>
            </w:r>
          </w:p>
        </w:tc>
      </w:tr>
      <w:tr w:rsidR="00325F95" w:rsidRPr="005A78C4" w14:paraId="6D829AEE" w14:textId="77777777" w:rsidTr="00140712">
        <w:trPr>
          <w:trHeight w:val="288"/>
        </w:trPr>
        <w:tc>
          <w:tcPr>
            <w:tcW w:w="5400" w:type="dxa"/>
            <w:tcBorders>
              <w:top w:val="nil"/>
              <w:left w:val="nil"/>
              <w:right w:val="nil"/>
            </w:tcBorders>
            <w:shd w:val="clear" w:color="auto" w:fill="auto"/>
            <w:noWrap/>
            <w:vAlign w:val="bottom"/>
            <w:hideMark/>
          </w:tcPr>
          <w:p w14:paraId="6A3DA7DA" w14:textId="58C135D6" w:rsidR="00325F95" w:rsidRPr="000206BE" w:rsidRDefault="00325F95" w:rsidP="00325F95">
            <w:pPr>
              <w:widowControl/>
              <w:rPr>
                <w:sz w:val="20"/>
              </w:rPr>
            </w:pPr>
            <w:r w:rsidRPr="000206BE">
              <w:rPr>
                <w:sz w:val="20"/>
              </w:rPr>
              <w:t xml:space="preserve">Accounts payable </w:t>
            </w:r>
            <w:r>
              <w:rPr>
                <w:sz w:val="20"/>
              </w:rPr>
              <w:t>(</w:t>
            </w:r>
            <w:r w:rsidRPr="00801311">
              <w:rPr>
                <w:i/>
                <w:sz w:val="20"/>
              </w:rPr>
              <w:t>Note 10)</w:t>
            </w:r>
          </w:p>
        </w:tc>
        <w:tc>
          <w:tcPr>
            <w:tcW w:w="1750" w:type="dxa"/>
            <w:tcBorders>
              <w:top w:val="nil"/>
              <w:left w:val="nil"/>
              <w:right w:val="nil"/>
            </w:tcBorders>
            <w:shd w:val="clear" w:color="auto" w:fill="auto"/>
            <w:noWrap/>
            <w:vAlign w:val="bottom"/>
          </w:tcPr>
          <w:p w14:paraId="5A5D3DBF" w14:textId="4D28ED9E" w:rsidR="00325F95" w:rsidRPr="00AE0430" w:rsidRDefault="00325F95" w:rsidP="00325F95">
            <w:pPr>
              <w:widowControl/>
              <w:jc w:val="right"/>
              <w:rPr>
                <w:sz w:val="20"/>
              </w:rPr>
            </w:pPr>
            <w:r>
              <w:rPr>
                <w:sz w:val="20"/>
              </w:rPr>
              <w:t>27</w:t>
            </w:r>
            <w:r w:rsidR="00317D7C">
              <w:rPr>
                <w:sz w:val="20"/>
              </w:rPr>
              <w:t>6</w:t>
            </w:r>
            <w:r>
              <w:rPr>
                <w:sz w:val="20"/>
              </w:rPr>
              <w:t>,</w:t>
            </w:r>
            <w:r w:rsidR="00317D7C">
              <w:rPr>
                <w:sz w:val="20"/>
              </w:rPr>
              <w:t>902</w:t>
            </w:r>
          </w:p>
        </w:tc>
        <w:tc>
          <w:tcPr>
            <w:tcW w:w="1751" w:type="dxa"/>
            <w:tcBorders>
              <w:top w:val="nil"/>
              <w:left w:val="nil"/>
              <w:right w:val="nil"/>
            </w:tcBorders>
            <w:shd w:val="clear" w:color="auto" w:fill="auto"/>
            <w:vAlign w:val="bottom"/>
          </w:tcPr>
          <w:p w14:paraId="4616A346" w14:textId="03760A71" w:rsidR="00325F95" w:rsidRPr="005A78C4" w:rsidRDefault="00325F95" w:rsidP="00325F95">
            <w:pPr>
              <w:widowControl/>
              <w:jc w:val="right"/>
              <w:rPr>
                <w:sz w:val="20"/>
              </w:rPr>
            </w:pPr>
            <w:r>
              <w:rPr>
                <w:sz w:val="20"/>
              </w:rPr>
              <w:t>274,611</w:t>
            </w:r>
          </w:p>
        </w:tc>
      </w:tr>
      <w:tr w:rsidR="00325F95" w:rsidRPr="005A78C4" w14:paraId="40BCCF6E" w14:textId="77777777" w:rsidTr="00140712">
        <w:trPr>
          <w:trHeight w:val="288"/>
        </w:trPr>
        <w:tc>
          <w:tcPr>
            <w:tcW w:w="5400" w:type="dxa"/>
            <w:tcBorders>
              <w:top w:val="nil"/>
              <w:left w:val="nil"/>
              <w:bottom w:val="single" w:sz="4" w:space="0" w:color="auto"/>
              <w:right w:val="nil"/>
            </w:tcBorders>
            <w:shd w:val="clear" w:color="auto" w:fill="auto"/>
            <w:noWrap/>
            <w:vAlign w:val="bottom"/>
          </w:tcPr>
          <w:p w14:paraId="467E88E2" w14:textId="07E07E3D" w:rsidR="00325F95" w:rsidRPr="000206BE" w:rsidRDefault="00325F95" w:rsidP="00325F95">
            <w:pPr>
              <w:widowControl/>
              <w:rPr>
                <w:sz w:val="20"/>
              </w:rPr>
            </w:pPr>
            <w:r w:rsidRPr="000206BE">
              <w:rPr>
                <w:sz w:val="20"/>
              </w:rPr>
              <w:t xml:space="preserve">Accrued liabilities </w:t>
            </w:r>
            <w:r w:rsidRPr="000206BE">
              <w:rPr>
                <w:i/>
                <w:sz w:val="20"/>
              </w:rPr>
              <w:t>(Note 1</w:t>
            </w:r>
            <w:r>
              <w:rPr>
                <w:i/>
                <w:sz w:val="20"/>
              </w:rPr>
              <w:t>0</w:t>
            </w:r>
            <w:r w:rsidRPr="000206BE">
              <w:rPr>
                <w:i/>
                <w:sz w:val="20"/>
              </w:rPr>
              <w:t>)</w:t>
            </w:r>
          </w:p>
        </w:tc>
        <w:tc>
          <w:tcPr>
            <w:tcW w:w="1750" w:type="dxa"/>
            <w:tcBorders>
              <w:top w:val="nil"/>
              <w:left w:val="nil"/>
              <w:bottom w:val="single" w:sz="4" w:space="0" w:color="auto"/>
              <w:right w:val="nil"/>
            </w:tcBorders>
            <w:shd w:val="clear" w:color="auto" w:fill="auto"/>
            <w:noWrap/>
            <w:vAlign w:val="bottom"/>
          </w:tcPr>
          <w:p w14:paraId="7F5619A5" w14:textId="515F1A7A" w:rsidR="00325F95" w:rsidRPr="00AE0430" w:rsidRDefault="00317D7C" w:rsidP="00325F95">
            <w:pPr>
              <w:widowControl/>
              <w:jc w:val="right"/>
              <w:rPr>
                <w:sz w:val="20"/>
              </w:rPr>
            </w:pPr>
            <w:r>
              <w:rPr>
                <w:sz w:val="20"/>
              </w:rPr>
              <w:t>357,119</w:t>
            </w:r>
          </w:p>
        </w:tc>
        <w:tc>
          <w:tcPr>
            <w:tcW w:w="1751" w:type="dxa"/>
            <w:tcBorders>
              <w:top w:val="nil"/>
              <w:left w:val="nil"/>
              <w:bottom w:val="single" w:sz="4" w:space="0" w:color="auto"/>
              <w:right w:val="nil"/>
            </w:tcBorders>
            <w:shd w:val="clear" w:color="auto" w:fill="auto"/>
            <w:vAlign w:val="bottom"/>
          </w:tcPr>
          <w:p w14:paraId="2522BD17" w14:textId="2B0CC2BB" w:rsidR="00325F95" w:rsidRPr="00325F95" w:rsidRDefault="00325F95" w:rsidP="00325F95">
            <w:pPr>
              <w:widowControl/>
              <w:jc w:val="right"/>
              <w:rPr>
                <w:sz w:val="20"/>
              </w:rPr>
            </w:pPr>
            <w:r w:rsidRPr="00325F95">
              <w:rPr>
                <w:sz w:val="20"/>
              </w:rPr>
              <w:t>339,119</w:t>
            </w:r>
          </w:p>
        </w:tc>
      </w:tr>
      <w:tr w:rsidR="00325F95" w:rsidRPr="005A78C4" w14:paraId="63D7988B" w14:textId="77777777" w:rsidTr="00140712">
        <w:trPr>
          <w:trHeight w:val="288"/>
        </w:trPr>
        <w:tc>
          <w:tcPr>
            <w:tcW w:w="5400" w:type="dxa"/>
            <w:tcBorders>
              <w:top w:val="single" w:sz="4" w:space="0" w:color="auto"/>
              <w:left w:val="nil"/>
              <w:bottom w:val="double" w:sz="4" w:space="0" w:color="auto"/>
              <w:right w:val="nil"/>
            </w:tcBorders>
            <w:shd w:val="clear" w:color="auto" w:fill="auto"/>
            <w:noWrap/>
            <w:vAlign w:val="bottom"/>
          </w:tcPr>
          <w:p w14:paraId="266E9205" w14:textId="77777777" w:rsidR="00325F95" w:rsidRPr="000206BE" w:rsidRDefault="00325F95" w:rsidP="00325F95">
            <w:pPr>
              <w:widowControl/>
              <w:rPr>
                <w:sz w:val="20"/>
              </w:rPr>
            </w:pPr>
          </w:p>
        </w:tc>
        <w:tc>
          <w:tcPr>
            <w:tcW w:w="1750" w:type="dxa"/>
            <w:tcBorders>
              <w:top w:val="single" w:sz="4" w:space="0" w:color="auto"/>
              <w:left w:val="nil"/>
              <w:bottom w:val="double" w:sz="4" w:space="0" w:color="auto"/>
              <w:right w:val="nil"/>
            </w:tcBorders>
            <w:shd w:val="clear" w:color="auto" w:fill="auto"/>
            <w:noWrap/>
            <w:vAlign w:val="bottom"/>
          </w:tcPr>
          <w:p w14:paraId="7AE4823C" w14:textId="1570E129" w:rsidR="00325F95" w:rsidRPr="00AE0430" w:rsidRDefault="00325F95" w:rsidP="00325F95">
            <w:pPr>
              <w:widowControl/>
              <w:jc w:val="right"/>
              <w:rPr>
                <w:b/>
                <w:sz w:val="20"/>
              </w:rPr>
            </w:pPr>
            <w:r>
              <w:rPr>
                <w:b/>
                <w:sz w:val="20"/>
              </w:rPr>
              <w:t>63</w:t>
            </w:r>
            <w:r w:rsidR="0097145A">
              <w:rPr>
                <w:b/>
                <w:sz w:val="20"/>
              </w:rPr>
              <w:t>4</w:t>
            </w:r>
            <w:r>
              <w:rPr>
                <w:b/>
                <w:sz w:val="20"/>
              </w:rPr>
              <w:t>,0</w:t>
            </w:r>
            <w:r w:rsidR="0097145A">
              <w:rPr>
                <w:b/>
                <w:sz w:val="20"/>
              </w:rPr>
              <w:t>21</w:t>
            </w:r>
          </w:p>
        </w:tc>
        <w:tc>
          <w:tcPr>
            <w:tcW w:w="1751" w:type="dxa"/>
            <w:tcBorders>
              <w:top w:val="single" w:sz="4" w:space="0" w:color="auto"/>
              <w:left w:val="nil"/>
              <w:bottom w:val="double" w:sz="4" w:space="0" w:color="auto"/>
              <w:right w:val="nil"/>
            </w:tcBorders>
            <w:shd w:val="clear" w:color="auto" w:fill="auto"/>
            <w:vAlign w:val="bottom"/>
          </w:tcPr>
          <w:p w14:paraId="2B652F62" w14:textId="7BFDA4E8" w:rsidR="00325F95" w:rsidRPr="00325F95" w:rsidRDefault="00325F95" w:rsidP="00325F95">
            <w:pPr>
              <w:widowControl/>
              <w:jc w:val="right"/>
              <w:rPr>
                <w:sz w:val="20"/>
              </w:rPr>
            </w:pPr>
            <w:r w:rsidRPr="00325F95">
              <w:rPr>
                <w:sz w:val="20"/>
              </w:rPr>
              <w:t>613,730</w:t>
            </w:r>
          </w:p>
        </w:tc>
      </w:tr>
    </w:tbl>
    <w:p w14:paraId="73E32E7B" w14:textId="00748E3B" w:rsidR="003506D5" w:rsidRDefault="00165A77" w:rsidP="0052677E">
      <w:pPr>
        <w:spacing w:before="120" w:after="120"/>
        <w:ind w:left="432"/>
        <w:jc w:val="both"/>
        <w:rPr>
          <w:sz w:val="20"/>
        </w:rPr>
      </w:pPr>
      <w:r w:rsidRPr="000206BE">
        <w:rPr>
          <w:sz w:val="20"/>
        </w:rPr>
        <w:t xml:space="preserve">All payables are unsecured, non-interest bearing, incurred in the </w:t>
      </w:r>
      <w:r w:rsidR="00BA13D5" w:rsidRPr="000206BE">
        <w:rPr>
          <w:sz w:val="20"/>
        </w:rPr>
        <w:t>normal course of the Company</w:t>
      </w:r>
      <w:r w:rsidRPr="000206BE">
        <w:rPr>
          <w:sz w:val="20"/>
        </w:rPr>
        <w:t>’s business operations and are within the credit terms of each relevant supplier or service provider.</w:t>
      </w:r>
    </w:p>
    <w:p w14:paraId="2637C1C0" w14:textId="1510199A" w:rsidR="005F5A01" w:rsidRDefault="0052677E" w:rsidP="002B2AE6">
      <w:pPr>
        <w:autoSpaceDE w:val="0"/>
        <w:autoSpaceDN w:val="0"/>
        <w:adjustRightInd w:val="0"/>
        <w:spacing w:before="120"/>
        <w:ind w:left="425" w:hanging="425"/>
        <w:jc w:val="both"/>
        <w:rPr>
          <w:b/>
          <w:spacing w:val="-2"/>
          <w:sz w:val="20"/>
        </w:rPr>
      </w:pPr>
      <w:bookmarkStart w:id="8" w:name="_Ref303238338"/>
      <w:r>
        <w:rPr>
          <w:b/>
          <w:spacing w:val="-2"/>
          <w:sz w:val="20"/>
        </w:rPr>
        <w:t>7</w:t>
      </w:r>
      <w:r>
        <w:rPr>
          <w:b/>
          <w:spacing w:val="-2"/>
          <w:sz w:val="20"/>
        </w:rPr>
        <w:tab/>
      </w:r>
      <w:r w:rsidR="005F5A01" w:rsidRPr="0052677E">
        <w:rPr>
          <w:b/>
          <w:spacing w:val="-2"/>
          <w:sz w:val="20"/>
        </w:rPr>
        <w:t>Share capital</w:t>
      </w:r>
      <w:bookmarkEnd w:id="8"/>
      <w:r w:rsidR="003D094D" w:rsidRPr="0052677E">
        <w:rPr>
          <w:b/>
          <w:spacing w:val="-2"/>
          <w:sz w:val="20"/>
        </w:rPr>
        <w:t xml:space="preserve"> and </w:t>
      </w:r>
      <w:r w:rsidR="00AE1CC3" w:rsidRPr="0052677E">
        <w:rPr>
          <w:b/>
          <w:spacing w:val="-2"/>
          <w:sz w:val="20"/>
        </w:rPr>
        <w:t>reserves</w:t>
      </w:r>
    </w:p>
    <w:p w14:paraId="5B95A5E1" w14:textId="77777777" w:rsidR="0052677E" w:rsidRPr="0052677E" w:rsidRDefault="0052677E" w:rsidP="0052677E">
      <w:pPr>
        <w:pStyle w:val="Normal2B"/>
        <w:widowControl/>
        <w:autoSpaceDE w:val="0"/>
        <w:autoSpaceDN w:val="0"/>
        <w:adjustRightInd w:val="0"/>
        <w:ind w:left="450"/>
        <w:rPr>
          <w:rFonts w:ascii="Times New Roman" w:hAnsi="Times New Roman"/>
          <w:caps w:val="0"/>
          <w:spacing w:val="0"/>
          <w:sz w:val="20"/>
          <w:lang w:val="en-US"/>
        </w:rPr>
      </w:pPr>
    </w:p>
    <w:p w14:paraId="4410B1F3" w14:textId="77777777" w:rsidR="005F5A01" w:rsidRPr="0052677E" w:rsidRDefault="005F5A01" w:rsidP="0052677E">
      <w:pPr>
        <w:widowControl/>
        <w:tabs>
          <w:tab w:val="left" w:pos="900"/>
        </w:tabs>
        <w:suppressAutoHyphens/>
        <w:overflowPunct w:val="0"/>
        <w:autoSpaceDE w:val="0"/>
        <w:autoSpaceDN w:val="0"/>
        <w:adjustRightInd w:val="0"/>
        <w:spacing w:after="120"/>
        <w:ind w:left="450"/>
        <w:jc w:val="both"/>
        <w:textAlignment w:val="baseline"/>
        <w:rPr>
          <w:b/>
          <w:spacing w:val="-3"/>
          <w:sz w:val="20"/>
        </w:rPr>
      </w:pPr>
      <w:r w:rsidRPr="0052677E">
        <w:rPr>
          <w:b/>
          <w:spacing w:val="-3"/>
          <w:sz w:val="20"/>
        </w:rPr>
        <w:t>Authorized</w:t>
      </w:r>
      <w:r w:rsidR="003A2490" w:rsidRPr="0052677E">
        <w:rPr>
          <w:b/>
          <w:spacing w:val="-3"/>
          <w:sz w:val="20"/>
        </w:rPr>
        <w:t xml:space="preserve"> share capital </w:t>
      </w:r>
    </w:p>
    <w:p w14:paraId="4F8790E4" w14:textId="77777777" w:rsidR="00402D91" w:rsidRPr="000206BE" w:rsidRDefault="009107A2" w:rsidP="0052677E">
      <w:pPr>
        <w:spacing w:before="120" w:after="120"/>
        <w:ind w:left="432"/>
        <w:jc w:val="both"/>
        <w:rPr>
          <w:sz w:val="20"/>
        </w:rPr>
      </w:pPr>
      <w:r w:rsidRPr="000206BE">
        <w:rPr>
          <w:sz w:val="20"/>
        </w:rPr>
        <w:t>Unlimited</w:t>
      </w:r>
      <w:r w:rsidR="005F5A01" w:rsidRPr="000206BE">
        <w:rPr>
          <w:sz w:val="20"/>
        </w:rPr>
        <w:t xml:space="preserve"> common shares without nominal or par value</w:t>
      </w:r>
      <w:r w:rsidR="002C34DD" w:rsidRPr="000206BE">
        <w:rPr>
          <w:sz w:val="20"/>
        </w:rPr>
        <w:t>.</w:t>
      </w:r>
    </w:p>
    <w:p w14:paraId="47079094" w14:textId="7BAF185A" w:rsidR="00A85F2A" w:rsidRPr="0052677E" w:rsidRDefault="00A85F2A" w:rsidP="0052677E">
      <w:pPr>
        <w:widowControl/>
        <w:tabs>
          <w:tab w:val="left" w:pos="900"/>
        </w:tabs>
        <w:suppressAutoHyphens/>
        <w:overflowPunct w:val="0"/>
        <w:autoSpaceDE w:val="0"/>
        <w:autoSpaceDN w:val="0"/>
        <w:adjustRightInd w:val="0"/>
        <w:spacing w:after="120"/>
        <w:ind w:left="450"/>
        <w:jc w:val="both"/>
        <w:textAlignment w:val="baseline"/>
        <w:rPr>
          <w:b/>
          <w:spacing w:val="-3"/>
          <w:sz w:val="20"/>
        </w:rPr>
      </w:pPr>
      <w:r w:rsidRPr="0052677E">
        <w:rPr>
          <w:b/>
          <w:spacing w:val="-3"/>
          <w:sz w:val="20"/>
        </w:rPr>
        <w:t xml:space="preserve">Issued share capital </w:t>
      </w:r>
      <w:bookmarkStart w:id="9" w:name="_Hlk514164373"/>
    </w:p>
    <w:p w14:paraId="73A36CED" w14:textId="77B38440" w:rsidR="00A85F2A" w:rsidRDefault="00A85F2A" w:rsidP="0052677E">
      <w:pPr>
        <w:spacing w:before="120" w:after="120"/>
        <w:ind w:left="432"/>
        <w:jc w:val="both"/>
        <w:rPr>
          <w:sz w:val="20"/>
        </w:rPr>
      </w:pPr>
      <w:r>
        <w:rPr>
          <w:sz w:val="20"/>
        </w:rPr>
        <w:t xml:space="preserve">As at </w:t>
      </w:r>
      <w:r w:rsidR="00A26048">
        <w:rPr>
          <w:sz w:val="20"/>
        </w:rPr>
        <w:t>June 30</w:t>
      </w:r>
      <w:r>
        <w:rPr>
          <w:sz w:val="20"/>
        </w:rPr>
        <w:t>, 20</w:t>
      </w:r>
      <w:r w:rsidR="003F6C39">
        <w:rPr>
          <w:sz w:val="20"/>
        </w:rPr>
        <w:t>20</w:t>
      </w:r>
      <w:r>
        <w:rPr>
          <w:sz w:val="20"/>
        </w:rPr>
        <w:t>, the Compa</w:t>
      </w:r>
      <w:r w:rsidRPr="00AE0430">
        <w:rPr>
          <w:sz w:val="20"/>
        </w:rPr>
        <w:t xml:space="preserve">ny had </w:t>
      </w:r>
      <w:r w:rsidR="006F10CA" w:rsidRPr="00FA6B7B">
        <w:rPr>
          <w:sz w:val="20"/>
        </w:rPr>
        <w:t>10</w:t>
      </w:r>
      <w:r w:rsidR="00904FEB">
        <w:rPr>
          <w:sz w:val="20"/>
        </w:rPr>
        <w:t>3</w:t>
      </w:r>
      <w:r w:rsidR="006F10CA" w:rsidRPr="00FA6B7B">
        <w:rPr>
          <w:sz w:val="20"/>
        </w:rPr>
        <w:t>,</w:t>
      </w:r>
      <w:r w:rsidR="00904FEB">
        <w:rPr>
          <w:sz w:val="20"/>
        </w:rPr>
        <w:t>080</w:t>
      </w:r>
      <w:r w:rsidRPr="00FA6B7B">
        <w:rPr>
          <w:sz w:val="20"/>
        </w:rPr>
        <w:t>,</w:t>
      </w:r>
      <w:r w:rsidR="00904FEB">
        <w:rPr>
          <w:sz w:val="20"/>
        </w:rPr>
        <w:t>1</w:t>
      </w:r>
      <w:r w:rsidR="006133C9">
        <w:rPr>
          <w:sz w:val="20"/>
        </w:rPr>
        <w:t>40</w:t>
      </w:r>
      <w:r w:rsidRPr="00FA6B7B">
        <w:rPr>
          <w:sz w:val="20"/>
        </w:rPr>
        <w:t xml:space="preserve"> (</w:t>
      </w:r>
      <w:r w:rsidR="00A26048">
        <w:rPr>
          <w:sz w:val="20"/>
        </w:rPr>
        <w:t xml:space="preserve">March 31, </w:t>
      </w:r>
      <w:r w:rsidRPr="00FA6B7B">
        <w:rPr>
          <w:sz w:val="20"/>
        </w:rPr>
        <w:t>20</w:t>
      </w:r>
      <w:r w:rsidR="00A26048">
        <w:rPr>
          <w:sz w:val="20"/>
        </w:rPr>
        <w:t>20</w:t>
      </w:r>
      <w:r>
        <w:rPr>
          <w:sz w:val="20"/>
        </w:rPr>
        <w:t xml:space="preserve">: </w:t>
      </w:r>
      <w:r w:rsidR="00A26048">
        <w:rPr>
          <w:sz w:val="20"/>
        </w:rPr>
        <w:t>102,780,640</w:t>
      </w:r>
      <w:r>
        <w:rPr>
          <w:sz w:val="20"/>
        </w:rPr>
        <w:t>) issued common shares.</w:t>
      </w:r>
    </w:p>
    <w:p w14:paraId="64FEEB16" w14:textId="3CE58469" w:rsidR="00904FEB" w:rsidRDefault="00904FEB" w:rsidP="00904FEB">
      <w:pPr>
        <w:spacing w:before="120" w:after="120"/>
        <w:ind w:left="432"/>
        <w:jc w:val="both"/>
        <w:rPr>
          <w:sz w:val="20"/>
        </w:rPr>
      </w:pPr>
      <w:r w:rsidRPr="00A85F2A">
        <w:rPr>
          <w:sz w:val="20"/>
        </w:rPr>
        <w:t xml:space="preserve">During the </w:t>
      </w:r>
      <w:r>
        <w:rPr>
          <w:sz w:val="20"/>
        </w:rPr>
        <w:t>three-month period</w:t>
      </w:r>
      <w:r w:rsidRPr="00A85F2A">
        <w:rPr>
          <w:sz w:val="20"/>
        </w:rPr>
        <w:t xml:space="preserve"> ended </w:t>
      </w:r>
      <w:r>
        <w:rPr>
          <w:sz w:val="20"/>
        </w:rPr>
        <w:t>June</w:t>
      </w:r>
      <w:r w:rsidRPr="00A85F2A">
        <w:rPr>
          <w:sz w:val="20"/>
        </w:rPr>
        <w:t xml:space="preserve"> 3</w:t>
      </w:r>
      <w:r>
        <w:rPr>
          <w:sz w:val="20"/>
        </w:rPr>
        <w:t>0</w:t>
      </w:r>
      <w:r w:rsidRPr="00A85F2A">
        <w:rPr>
          <w:sz w:val="20"/>
        </w:rPr>
        <w:t>, 20</w:t>
      </w:r>
      <w:r>
        <w:rPr>
          <w:sz w:val="20"/>
        </w:rPr>
        <w:t>20</w:t>
      </w:r>
      <w:r w:rsidRPr="00A85F2A">
        <w:rPr>
          <w:sz w:val="20"/>
        </w:rPr>
        <w:t xml:space="preserve">, the Company completed </w:t>
      </w:r>
      <w:r>
        <w:rPr>
          <w:sz w:val="20"/>
        </w:rPr>
        <w:t>the following</w:t>
      </w:r>
      <w:r w:rsidRPr="00A85F2A">
        <w:rPr>
          <w:sz w:val="20"/>
        </w:rPr>
        <w:t xml:space="preserve"> issuances:</w:t>
      </w:r>
    </w:p>
    <w:p w14:paraId="4C157F0B" w14:textId="3BB29531" w:rsidR="00904FEB" w:rsidRPr="00A85F2A" w:rsidRDefault="00904FEB" w:rsidP="00904FEB">
      <w:pPr>
        <w:spacing w:before="120" w:after="120"/>
        <w:ind w:left="432"/>
        <w:jc w:val="both"/>
        <w:rPr>
          <w:sz w:val="20"/>
        </w:rPr>
      </w:pPr>
      <w:r>
        <w:rPr>
          <w:sz w:val="20"/>
        </w:rPr>
        <w:t>During the three-month period, 299,500 options were exercised at prices ranging from $0.08 to $0.10 per share for proceeds of $28,950.</w:t>
      </w:r>
      <w:r w:rsidR="00006A58">
        <w:rPr>
          <w:sz w:val="20"/>
        </w:rPr>
        <w:t xml:space="preserve"> </w:t>
      </w:r>
    </w:p>
    <w:p w14:paraId="228D9864" w14:textId="1CAB818C" w:rsidR="00904FEB" w:rsidRPr="00A85F2A" w:rsidRDefault="00904FEB" w:rsidP="00904FEB">
      <w:pPr>
        <w:spacing w:before="120" w:after="120"/>
        <w:ind w:left="432"/>
        <w:jc w:val="both"/>
        <w:rPr>
          <w:sz w:val="20"/>
        </w:rPr>
      </w:pPr>
      <w:r w:rsidRPr="00A85F2A">
        <w:rPr>
          <w:sz w:val="20"/>
        </w:rPr>
        <w:t>During the year ended March 31, 20</w:t>
      </w:r>
      <w:r w:rsidR="00DA1B07">
        <w:rPr>
          <w:sz w:val="20"/>
        </w:rPr>
        <w:t>20</w:t>
      </w:r>
      <w:r w:rsidRPr="00A85F2A">
        <w:rPr>
          <w:sz w:val="20"/>
        </w:rPr>
        <w:t>, the Company completed the following share issuances:</w:t>
      </w:r>
    </w:p>
    <w:p w14:paraId="58F3034F" w14:textId="638894D7" w:rsidR="00962605" w:rsidRDefault="00962605" w:rsidP="0052677E">
      <w:pPr>
        <w:spacing w:before="120" w:after="120"/>
        <w:ind w:left="432"/>
        <w:jc w:val="both"/>
        <w:rPr>
          <w:sz w:val="20"/>
        </w:rPr>
      </w:pPr>
      <w:r w:rsidRPr="006B0D3A">
        <w:rPr>
          <w:sz w:val="20"/>
        </w:rPr>
        <w:t xml:space="preserve">On </w:t>
      </w:r>
      <w:r>
        <w:rPr>
          <w:sz w:val="20"/>
        </w:rPr>
        <w:t>December 9, 2019</w:t>
      </w:r>
      <w:r w:rsidRPr="006B0D3A">
        <w:rPr>
          <w:sz w:val="20"/>
        </w:rPr>
        <w:t xml:space="preserve">, the Company issued 250,000 common shares </w:t>
      </w:r>
      <w:r w:rsidR="00C75E33">
        <w:rPr>
          <w:sz w:val="20"/>
        </w:rPr>
        <w:t>at</w:t>
      </w:r>
      <w:r w:rsidR="00C75E33" w:rsidRPr="006B0D3A">
        <w:rPr>
          <w:sz w:val="20"/>
        </w:rPr>
        <w:t xml:space="preserve"> </w:t>
      </w:r>
      <w:r w:rsidR="00C75E33">
        <w:rPr>
          <w:sz w:val="20"/>
        </w:rPr>
        <w:t>$0.165 per share for a total fair value</w:t>
      </w:r>
      <w:r w:rsidRPr="006B0D3A">
        <w:rPr>
          <w:sz w:val="20"/>
        </w:rPr>
        <w:t xml:space="preserve"> of $41,250 pursuant to the Genius Option Agreement (</w:t>
      </w:r>
      <w:r w:rsidR="00E419EE">
        <w:rPr>
          <w:sz w:val="20"/>
        </w:rPr>
        <w:t>n</w:t>
      </w:r>
      <w:r w:rsidRPr="006B0D3A">
        <w:rPr>
          <w:sz w:val="20"/>
        </w:rPr>
        <w:t>ote 4).</w:t>
      </w:r>
    </w:p>
    <w:p w14:paraId="32D13814" w14:textId="16D7E593" w:rsidR="000E51A4" w:rsidRPr="006B0D3A" w:rsidRDefault="000E51A4" w:rsidP="0052677E">
      <w:pPr>
        <w:spacing w:before="120" w:after="120"/>
        <w:ind w:left="432"/>
        <w:jc w:val="both"/>
        <w:rPr>
          <w:sz w:val="20"/>
        </w:rPr>
      </w:pPr>
      <w:r w:rsidRPr="0052677E">
        <w:rPr>
          <w:sz w:val="20"/>
        </w:rPr>
        <w:t xml:space="preserve">On March 10, 2020, the Company issued 6,000,000 </w:t>
      </w:r>
      <w:r w:rsidRPr="006B0D3A">
        <w:rPr>
          <w:sz w:val="20"/>
        </w:rPr>
        <w:t xml:space="preserve">common shares </w:t>
      </w:r>
      <w:r w:rsidR="00C75E33">
        <w:rPr>
          <w:sz w:val="20"/>
        </w:rPr>
        <w:t>at $0.14 per share for</w:t>
      </w:r>
      <w:r w:rsidR="00C75E33" w:rsidRPr="006B0D3A">
        <w:rPr>
          <w:sz w:val="20"/>
        </w:rPr>
        <w:t xml:space="preserve"> </w:t>
      </w:r>
      <w:r w:rsidRPr="006B0D3A">
        <w:rPr>
          <w:sz w:val="20"/>
        </w:rPr>
        <w:t>a</w:t>
      </w:r>
      <w:r w:rsidR="00C75E33">
        <w:rPr>
          <w:sz w:val="20"/>
        </w:rPr>
        <w:t xml:space="preserve"> total</w:t>
      </w:r>
      <w:r w:rsidRPr="006B0D3A">
        <w:rPr>
          <w:sz w:val="20"/>
        </w:rPr>
        <w:t xml:space="preserve"> fair value of</w:t>
      </w:r>
      <w:r w:rsidR="009B5080">
        <w:rPr>
          <w:sz w:val="20"/>
        </w:rPr>
        <w:t xml:space="preserve"> $840,000 </w:t>
      </w:r>
      <w:r w:rsidR="009B5080" w:rsidRPr="006B0D3A">
        <w:rPr>
          <w:sz w:val="20"/>
        </w:rPr>
        <w:t>pursuant to the</w:t>
      </w:r>
      <w:r w:rsidR="009B5080">
        <w:rPr>
          <w:sz w:val="20"/>
        </w:rPr>
        <w:t xml:space="preserve"> Palladium mineral claims acquisition </w:t>
      </w:r>
      <w:r w:rsidR="009B5080" w:rsidRPr="006B0D3A">
        <w:rPr>
          <w:sz w:val="20"/>
        </w:rPr>
        <w:t>(</w:t>
      </w:r>
      <w:r w:rsidR="00E419EE">
        <w:rPr>
          <w:sz w:val="20"/>
        </w:rPr>
        <w:t>n</w:t>
      </w:r>
      <w:r w:rsidR="009B5080" w:rsidRPr="006B0D3A">
        <w:rPr>
          <w:sz w:val="20"/>
        </w:rPr>
        <w:t>ote 4).</w:t>
      </w:r>
    </w:p>
    <w:p w14:paraId="1DE8A7F8" w14:textId="77777777" w:rsidR="00322DF8" w:rsidRDefault="00322DF8" w:rsidP="00F817A1">
      <w:pPr>
        <w:spacing w:before="120" w:after="120"/>
        <w:ind w:left="432"/>
        <w:jc w:val="both"/>
        <w:rPr>
          <w:sz w:val="20"/>
        </w:rPr>
      </w:pPr>
    </w:p>
    <w:p w14:paraId="3F932634" w14:textId="4D125E67" w:rsidR="00322DF8" w:rsidRDefault="00322DF8" w:rsidP="00F817A1">
      <w:pPr>
        <w:spacing w:before="120" w:after="120"/>
        <w:ind w:left="432"/>
        <w:jc w:val="both"/>
        <w:rPr>
          <w:sz w:val="20"/>
        </w:rPr>
      </w:pPr>
    </w:p>
    <w:p w14:paraId="54BC7AF2" w14:textId="77777777" w:rsidR="002A3306" w:rsidRDefault="002A3306" w:rsidP="00F817A1">
      <w:pPr>
        <w:spacing w:before="120" w:after="120"/>
        <w:ind w:left="432"/>
        <w:jc w:val="both"/>
        <w:rPr>
          <w:sz w:val="20"/>
        </w:rPr>
      </w:pPr>
    </w:p>
    <w:p w14:paraId="6BBF343D" w14:textId="77777777" w:rsidR="00322DF8" w:rsidRDefault="00322DF8" w:rsidP="00F817A1">
      <w:pPr>
        <w:spacing w:before="120" w:after="120"/>
        <w:ind w:left="432"/>
        <w:jc w:val="both"/>
        <w:rPr>
          <w:sz w:val="20"/>
        </w:rPr>
      </w:pPr>
    </w:p>
    <w:p w14:paraId="4525019B" w14:textId="77777777" w:rsidR="00322DF8" w:rsidRDefault="00322DF8" w:rsidP="00F817A1">
      <w:pPr>
        <w:spacing w:before="120" w:after="120"/>
        <w:ind w:left="432"/>
        <w:jc w:val="both"/>
        <w:rPr>
          <w:sz w:val="20"/>
        </w:rPr>
      </w:pPr>
    </w:p>
    <w:p w14:paraId="2C2A3967" w14:textId="77777777" w:rsidR="00322DF8" w:rsidRDefault="00322DF8" w:rsidP="00F817A1">
      <w:pPr>
        <w:spacing w:before="120" w:after="120"/>
        <w:ind w:left="432"/>
        <w:jc w:val="both"/>
        <w:rPr>
          <w:sz w:val="20"/>
        </w:rPr>
      </w:pPr>
    </w:p>
    <w:p w14:paraId="3697C998" w14:textId="7A21FC47" w:rsidR="00C2667A" w:rsidRPr="00F817A1" w:rsidRDefault="00C2667A" w:rsidP="00C2667A">
      <w:pPr>
        <w:autoSpaceDE w:val="0"/>
        <w:autoSpaceDN w:val="0"/>
        <w:adjustRightInd w:val="0"/>
        <w:spacing w:before="120"/>
        <w:ind w:left="425" w:hanging="425"/>
        <w:jc w:val="both"/>
        <w:rPr>
          <w:b/>
          <w:spacing w:val="-2"/>
          <w:sz w:val="20"/>
        </w:rPr>
      </w:pPr>
      <w:r>
        <w:rPr>
          <w:b/>
          <w:spacing w:val="-2"/>
          <w:sz w:val="20"/>
        </w:rPr>
        <w:lastRenderedPageBreak/>
        <w:t>7.</w:t>
      </w:r>
      <w:r>
        <w:rPr>
          <w:b/>
          <w:spacing w:val="-2"/>
          <w:sz w:val="20"/>
        </w:rPr>
        <w:tab/>
      </w:r>
      <w:r w:rsidRPr="00F817A1">
        <w:rPr>
          <w:b/>
          <w:spacing w:val="-2"/>
          <w:sz w:val="20"/>
        </w:rPr>
        <w:t>Share capital and reserves (continued)</w:t>
      </w:r>
    </w:p>
    <w:p w14:paraId="3967DC1C" w14:textId="77777777" w:rsidR="00C2667A" w:rsidRPr="002B2AE6" w:rsidRDefault="00C2667A" w:rsidP="002B2AE6">
      <w:pPr>
        <w:pStyle w:val="Normal2B"/>
        <w:widowControl/>
        <w:autoSpaceDE w:val="0"/>
        <w:autoSpaceDN w:val="0"/>
        <w:adjustRightInd w:val="0"/>
        <w:ind w:left="450"/>
        <w:rPr>
          <w:rFonts w:ascii="Times New Roman" w:hAnsi="Times New Roman"/>
          <w:caps w:val="0"/>
          <w:spacing w:val="0"/>
          <w:sz w:val="20"/>
          <w:lang w:val="en-US"/>
        </w:rPr>
      </w:pPr>
    </w:p>
    <w:bookmarkEnd w:id="9"/>
    <w:p w14:paraId="44A8B434" w14:textId="77777777" w:rsidR="00CD61AC" w:rsidRPr="00F817A1" w:rsidRDefault="00CD61AC" w:rsidP="00F817A1">
      <w:pPr>
        <w:widowControl/>
        <w:tabs>
          <w:tab w:val="left" w:pos="900"/>
        </w:tabs>
        <w:suppressAutoHyphens/>
        <w:overflowPunct w:val="0"/>
        <w:autoSpaceDE w:val="0"/>
        <w:autoSpaceDN w:val="0"/>
        <w:adjustRightInd w:val="0"/>
        <w:spacing w:after="120"/>
        <w:ind w:left="450"/>
        <w:jc w:val="both"/>
        <w:textAlignment w:val="baseline"/>
        <w:rPr>
          <w:b/>
          <w:spacing w:val="-3"/>
          <w:sz w:val="20"/>
        </w:rPr>
      </w:pPr>
      <w:r w:rsidRPr="00F817A1">
        <w:rPr>
          <w:b/>
          <w:spacing w:val="-3"/>
          <w:sz w:val="20"/>
        </w:rPr>
        <w:t xml:space="preserve">Warrants </w:t>
      </w:r>
    </w:p>
    <w:p w14:paraId="4314C2B6" w14:textId="535C61E1" w:rsidR="00CD61AC" w:rsidRPr="00F817A1" w:rsidRDefault="00CD61AC" w:rsidP="00C41E5B">
      <w:pPr>
        <w:autoSpaceDE w:val="0"/>
        <w:autoSpaceDN w:val="0"/>
        <w:adjustRightInd w:val="0"/>
        <w:spacing w:before="120" w:after="120"/>
        <w:ind w:left="432"/>
        <w:jc w:val="both"/>
        <w:rPr>
          <w:spacing w:val="-2"/>
          <w:sz w:val="20"/>
        </w:rPr>
      </w:pPr>
      <w:r w:rsidRPr="00F817A1">
        <w:rPr>
          <w:spacing w:val="-2"/>
          <w:sz w:val="20"/>
        </w:rPr>
        <w:t xml:space="preserve">Warrant transactions outstanding and exercisable for the </w:t>
      </w:r>
      <w:r w:rsidR="00057275">
        <w:rPr>
          <w:spacing w:val="-2"/>
          <w:sz w:val="20"/>
        </w:rPr>
        <w:t>three</w:t>
      </w:r>
      <w:r w:rsidR="00ED0D89">
        <w:rPr>
          <w:spacing w:val="-2"/>
          <w:sz w:val="20"/>
        </w:rPr>
        <w:t xml:space="preserve">-month period </w:t>
      </w:r>
      <w:r w:rsidRPr="00F817A1">
        <w:rPr>
          <w:spacing w:val="-2"/>
          <w:sz w:val="20"/>
        </w:rPr>
        <w:t xml:space="preserve">ended </w:t>
      </w:r>
      <w:r w:rsidR="00ED0D89">
        <w:rPr>
          <w:spacing w:val="-2"/>
          <w:sz w:val="20"/>
        </w:rPr>
        <w:t>June</w:t>
      </w:r>
      <w:r w:rsidR="004D47E3" w:rsidRPr="00F817A1">
        <w:rPr>
          <w:spacing w:val="-2"/>
          <w:sz w:val="20"/>
        </w:rPr>
        <w:t xml:space="preserve"> </w:t>
      </w:r>
      <w:r w:rsidR="00532D71" w:rsidRPr="00F817A1">
        <w:rPr>
          <w:spacing w:val="-2"/>
          <w:sz w:val="20"/>
        </w:rPr>
        <w:t>3</w:t>
      </w:r>
      <w:r w:rsidR="00ED0D89">
        <w:rPr>
          <w:spacing w:val="-2"/>
          <w:sz w:val="20"/>
        </w:rPr>
        <w:t>0</w:t>
      </w:r>
      <w:r w:rsidR="00FF07B5" w:rsidRPr="00F817A1">
        <w:rPr>
          <w:spacing w:val="-2"/>
          <w:sz w:val="20"/>
        </w:rPr>
        <w:t>, 20</w:t>
      </w:r>
      <w:r w:rsidR="003F6C39" w:rsidRPr="00F817A1">
        <w:rPr>
          <w:spacing w:val="-2"/>
          <w:sz w:val="20"/>
        </w:rPr>
        <w:t>20</w:t>
      </w:r>
      <w:r w:rsidRPr="00F817A1">
        <w:rPr>
          <w:spacing w:val="-2"/>
          <w:sz w:val="20"/>
        </w:rPr>
        <w:t xml:space="preserve"> were as follows:</w:t>
      </w:r>
    </w:p>
    <w:tbl>
      <w:tblPr>
        <w:tblW w:w="8892"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8"/>
        <w:gridCol w:w="2016"/>
        <w:gridCol w:w="2178"/>
      </w:tblGrid>
      <w:tr w:rsidR="00507D54" w:rsidRPr="000206BE" w14:paraId="770A6780" w14:textId="77777777" w:rsidTr="009B5080">
        <w:trPr>
          <w:trHeight w:val="187"/>
        </w:trPr>
        <w:tc>
          <w:tcPr>
            <w:tcW w:w="4698" w:type="dxa"/>
            <w:tcBorders>
              <w:top w:val="double" w:sz="4" w:space="0" w:color="auto"/>
              <w:left w:val="nil"/>
              <w:bottom w:val="single" w:sz="4" w:space="0" w:color="auto"/>
              <w:right w:val="nil"/>
            </w:tcBorders>
          </w:tcPr>
          <w:p w14:paraId="2766FA63" w14:textId="77777777" w:rsidR="00F0093A" w:rsidRPr="000206BE" w:rsidRDefault="00F0093A" w:rsidP="00986897">
            <w:pPr>
              <w:autoSpaceDE w:val="0"/>
              <w:autoSpaceDN w:val="0"/>
              <w:adjustRightInd w:val="0"/>
              <w:rPr>
                <w:sz w:val="20"/>
                <w:highlight w:val="yellow"/>
              </w:rPr>
            </w:pPr>
          </w:p>
          <w:p w14:paraId="34A07B83" w14:textId="77777777" w:rsidR="00CD61AC" w:rsidRPr="000206BE" w:rsidRDefault="00CD61AC" w:rsidP="00F0093A">
            <w:pPr>
              <w:rPr>
                <w:sz w:val="20"/>
                <w:highlight w:val="yellow"/>
              </w:rPr>
            </w:pPr>
          </w:p>
        </w:tc>
        <w:tc>
          <w:tcPr>
            <w:tcW w:w="2016" w:type="dxa"/>
            <w:tcBorders>
              <w:top w:val="double" w:sz="4" w:space="0" w:color="auto"/>
              <w:left w:val="nil"/>
              <w:bottom w:val="single" w:sz="4" w:space="0" w:color="auto"/>
              <w:right w:val="nil"/>
            </w:tcBorders>
          </w:tcPr>
          <w:p w14:paraId="0BAF1860" w14:textId="77777777" w:rsidR="00CD61AC" w:rsidRPr="000206BE" w:rsidRDefault="00CD61AC" w:rsidP="00986897">
            <w:pPr>
              <w:widowControl/>
              <w:jc w:val="right"/>
              <w:rPr>
                <w:b/>
                <w:bCs/>
                <w:sz w:val="20"/>
              </w:rPr>
            </w:pPr>
            <w:r w:rsidRPr="000206BE">
              <w:rPr>
                <w:b/>
                <w:bCs/>
                <w:sz w:val="20"/>
              </w:rPr>
              <w:t>Number of </w:t>
            </w:r>
          </w:p>
          <w:p w14:paraId="5746CECD" w14:textId="77777777" w:rsidR="00CD61AC" w:rsidRPr="000206BE" w:rsidRDefault="00CD61AC" w:rsidP="00986897">
            <w:pPr>
              <w:widowControl/>
              <w:jc w:val="right"/>
              <w:rPr>
                <w:b/>
                <w:bCs/>
                <w:sz w:val="20"/>
              </w:rPr>
            </w:pPr>
            <w:r w:rsidRPr="000206BE">
              <w:rPr>
                <w:b/>
                <w:bCs/>
                <w:sz w:val="20"/>
              </w:rPr>
              <w:t xml:space="preserve"> Warrants </w:t>
            </w:r>
          </w:p>
          <w:p w14:paraId="52786397" w14:textId="77777777" w:rsidR="00CD61AC" w:rsidRPr="000206BE" w:rsidRDefault="00CD61AC" w:rsidP="00986897">
            <w:pPr>
              <w:widowControl/>
              <w:jc w:val="right"/>
              <w:rPr>
                <w:b/>
                <w:bCs/>
                <w:sz w:val="20"/>
              </w:rPr>
            </w:pPr>
            <w:r w:rsidRPr="000206BE">
              <w:rPr>
                <w:b/>
                <w:bCs/>
                <w:sz w:val="20"/>
              </w:rPr>
              <w:t># </w:t>
            </w:r>
          </w:p>
        </w:tc>
        <w:tc>
          <w:tcPr>
            <w:tcW w:w="2178" w:type="dxa"/>
            <w:tcBorders>
              <w:top w:val="double" w:sz="4" w:space="0" w:color="auto"/>
              <w:left w:val="nil"/>
              <w:bottom w:val="single" w:sz="4" w:space="0" w:color="auto"/>
              <w:right w:val="nil"/>
            </w:tcBorders>
          </w:tcPr>
          <w:p w14:paraId="6F917EE1" w14:textId="77777777" w:rsidR="00CD61AC" w:rsidRPr="000206BE" w:rsidRDefault="00CD61AC" w:rsidP="00986897">
            <w:pPr>
              <w:widowControl/>
              <w:jc w:val="right"/>
              <w:rPr>
                <w:b/>
                <w:bCs/>
                <w:sz w:val="20"/>
              </w:rPr>
            </w:pPr>
            <w:r w:rsidRPr="000206BE">
              <w:rPr>
                <w:b/>
                <w:bCs/>
                <w:sz w:val="20"/>
              </w:rPr>
              <w:t>Weighted average  </w:t>
            </w:r>
          </w:p>
          <w:p w14:paraId="3BBD7493" w14:textId="77777777" w:rsidR="00CD61AC" w:rsidRPr="000206BE" w:rsidRDefault="00CD61AC" w:rsidP="00986897">
            <w:pPr>
              <w:widowControl/>
              <w:jc w:val="right"/>
              <w:rPr>
                <w:b/>
                <w:bCs/>
                <w:sz w:val="20"/>
              </w:rPr>
            </w:pPr>
            <w:r w:rsidRPr="000206BE">
              <w:rPr>
                <w:b/>
                <w:bCs/>
                <w:sz w:val="20"/>
              </w:rPr>
              <w:t> exercise price  </w:t>
            </w:r>
          </w:p>
          <w:p w14:paraId="6E2E0889" w14:textId="77777777" w:rsidR="00CD61AC" w:rsidRPr="000206BE" w:rsidRDefault="00CD61AC" w:rsidP="00986897">
            <w:pPr>
              <w:widowControl/>
              <w:jc w:val="right"/>
              <w:rPr>
                <w:b/>
                <w:bCs/>
                <w:sz w:val="20"/>
              </w:rPr>
            </w:pPr>
            <w:r w:rsidRPr="000206BE">
              <w:rPr>
                <w:b/>
                <w:bCs/>
                <w:sz w:val="20"/>
              </w:rPr>
              <w:t>$  </w:t>
            </w:r>
          </w:p>
        </w:tc>
      </w:tr>
      <w:tr w:rsidR="00140712" w:rsidRPr="000206BE" w14:paraId="1C6AF1E2" w14:textId="77777777" w:rsidTr="00140712">
        <w:trPr>
          <w:trHeight w:val="288"/>
        </w:trPr>
        <w:tc>
          <w:tcPr>
            <w:tcW w:w="4698" w:type="dxa"/>
            <w:tcBorders>
              <w:top w:val="single" w:sz="4" w:space="0" w:color="auto"/>
              <w:left w:val="nil"/>
              <w:bottom w:val="nil"/>
              <w:right w:val="nil"/>
            </w:tcBorders>
            <w:vAlign w:val="bottom"/>
          </w:tcPr>
          <w:p w14:paraId="60A12BF5" w14:textId="77777777" w:rsidR="00140712" w:rsidRPr="000206BE" w:rsidRDefault="00140712" w:rsidP="00140712">
            <w:pPr>
              <w:autoSpaceDE w:val="0"/>
              <w:autoSpaceDN w:val="0"/>
              <w:adjustRightInd w:val="0"/>
              <w:rPr>
                <w:b/>
                <w:sz w:val="20"/>
              </w:rPr>
            </w:pPr>
            <w:bookmarkStart w:id="10" w:name="_Hlk497400553"/>
            <w:r w:rsidRPr="000206BE">
              <w:rPr>
                <w:b/>
                <w:sz w:val="20"/>
              </w:rPr>
              <w:t>Balance, March 31, 2019</w:t>
            </w:r>
          </w:p>
        </w:tc>
        <w:tc>
          <w:tcPr>
            <w:tcW w:w="2016" w:type="dxa"/>
            <w:tcBorders>
              <w:top w:val="single" w:sz="4" w:space="0" w:color="auto"/>
              <w:left w:val="nil"/>
              <w:bottom w:val="nil"/>
              <w:right w:val="nil"/>
            </w:tcBorders>
            <w:vAlign w:val="bottom"/>
          </w:tcPr>
          <w:p w14:paraId="22204B1F" w14:textId="77777777" w:rsidR="00140712" w:rsidRPr="000206BE" w:rsidRDefault="00140712" w:rsidP="00140712">
            <w:pPr>
              <w:autoSpaceDE w:val="0"/>
              <w:autoSpaceDN w:val="0"/>
              <w:adjustRightInd w:val="0"/>
              <w:jc w:val="right"/>
              <w:rPr>
                <w:b/>
                <w:sz w:val="20"/>
              </w:rPr>
            </w:pPr>
            <w:r w:rsidRPr="000206BE">
              <w:rPr>
                <w:b/>
                <w:sz w:val="20"/>
              </w:rPr>
              <w:t>23,331,006</w:t>
            </w:r>
          </w:p>
        </w:tc>
        <w:tc>
          <w:tcPr>
            <w:tcW w:w="2178" w:type="dxa"/>
            <w:tcBorders>
              <w:top w:val="single" w:sz="4" w:space="0" w:color="auto"/>
              <w:left w:val="nil"/>
              <w:bottom w:val="nil"/>
              <w:right w:val="nil"/>
            </w:tcBorders>
            <w:vAlign w:val="bottom"/>
          </w:tcPr>
          <w:p w14:paraId="4BEE9F88" w14:textId="77777777" w:rsidR="00140712" w:rsidRPr="000206BE" w:rsidRDefault="00140712" w:rsidP="00140712">
            <w:pPr>
              <w:autoSpaceDE w:val="0"/>
              <w:autoSpaceDN w:val="0"/>
              <w:adjustRightInd w:val="0"/>
              <w:jc w:val="right"/>
              <w:rPr>
                <w:b/>
                <w:sz w:val="20"/>
              </w:rPr>
            </w:pPr>
            <w:r w:rsidRPr="000206BE">
              <w:rPr>
                <w:b/>
                <w:sz w:val="20"/>
              </w:rPr>
              <w:t>0.</w:t>
            </w:r>
            <w:r>
              <w:rPr>
                <w:b/>
                <w:sz w:val="20"/>
              </w:rPr>
              <w:t>18</w:t>
            </w:r>
          </w:p>
        </w:tc>
      </w:tr>
      <w:tr w:rsidR="00140712" w:rsidRPr="000206BE" w14:paraId="69AE6952" w14:textId="77777777" w:rsidTr="00140712">
        <w:trPr>
          <w:trHeight w:val="288"/>
        </w:trPr>
        <w:tc>
          <w:tcPr>
            <w:tcW w:w="4698" w:type="dxa"/>
            <w:tcBorders>
              <w:top w:val="nil"/>
              <w:left w:val="nil"/>
              <w:bottom w:val="single" w:sz="2" w:space="0" w:color="auto"/>
              <w:right w:val="nil"/>
            </w:tcBorders>
            <w:vAlign w:val="bottom"/>
          </w:tcPr>
          <w:p w14:paraId="4DCE3DE6" w14:textId="77777777" w:rsidR="00140712" w:rsidRPr="000206BE" w:rsidRDefault="00140712" w:rsidP="00140712">
            <w:pPr>
              <w:autoSpaceDE w:val="0"/>
              <w:autoSpaceDN w:val="0"/>
              <w:adjustRightInd w:val="0"/>
              <w:rPr>
                <w:b/>
                <w:sz w:val="20"/>
              </w:rPr>
            </w:pPr>
            <w:r w:rsidRPr="000206BE">
              <w:rPr>
                <w:b/>
                <w:sz w:val="20"/>
              </w:rPr>
              <w:t xml:space="preserve">  </w:t>
            </w:r>
            <w:r>
              <w:rPr>
                <w:sz w:val="20"/>
              </w:rPr>
              <w:t>Expired</w:t>
            </w:r>
          </w:p>
        </w:tc>
        <w:tc>
          <w:tcPr>
            <w:tcW w:w="2016" w:type="dxa"/>
            <w:tcBorders>
              <w:top w:val="nil"/>
              <w:left w:val="nil"/>
              <w:bottom w:val="single" w:sz="2" w:space="0" w:color="auto"/>
              <w:right w:val="nil"/>
            </w:tcBorders>
            <w:shd w:val="clear" w:color="auto" w:fill="auto"/>
            <w:vAlign w:val="bottom"/>
          </w:tcPr>
          <w:p w14:paraId="7C296F60" w14:textId="77777777" w:rsidR="00140712" w:rsidRPr="00AE0430" w:rsidRDefault="00140712" w:rsidP="00140712">
            <w:pPr>
              <w:autoSpaceDE w:val="0"/>
              <w:autoSpaceDN w:val="0"/>
              <w:adjustRightInd w:val="0"/>
              <w:jc w:val="right"/>
              <w:rPr>
                <w:sz w:val="20"/>
              </w:rPr>
            </w:pPr>
            <w:r w:rsidRPr="00AE0430">
              <w:rPr>
                <w:sz w:val="20"/>
              </w:rPr>
              <w:t>(1,616,000)</w:t>
            </w:r>
          </w:p>
        </w:tc>
        <w:tc>
          <w:tcPr>
            <w:tcW w:w="2178" w:type="dxa"/>
            <w:tcBorders>
              <w:top w:val="nil"/>
              <w:left w:val="nil"/>
              <w:bottom w:val="single" w:sz="2" w:space="0" w:color="auto"/>
              <w:right w:val="nil"/>
            </w:tcBorders>
            <w:shd w:val="clear" w:color="auto" w:fill="auto"/>
            <w:vAlign w:val="bottom"/>
          </w:tcPr>
          <w:p w14:paraId="5CA2B95F" w14:textId="77777777" w:rsidR="00140712" w:rsidRPr="00AE0430" w:rsidRDefault="00140712" w:rsidP="00140712">
            <w:pPr>
              <w:autoSpaceDE w:val="0"/>
              <w:autoSpaceDN w:val="0"/>
              <w:adjustRightInd w:val="0"/>
              <w:jc w:val="right"/>
              <w:rPr>
                <w:sz w:val="20"/>
              </w:rPr>
            </w:pPr>
            <w:r w:rsidRPr="00AE0430">
              <w:rPr>
                <w:sz w:val="20"/>
              </w:rPr>
              <w:t>(0.35)</w:t>
            </w:r>
          </w:p>
        </w:tc>
      </w:tr>
      <w:tr w:rsidR="003F6C39" w:rsidRPr="000206BE" w14:paraId="25738BC4" w14:textId="77777777" w:rsidTr="00F817A1">
        <w:trPr>
          <w:trHeight w:val="288"/>
        </w:trPr>
        <w:tc>
          <w:tcPr>
            <w:tcW w:w="4698" w:type="dxa"/>
            <w:tcBorders>
              <w:top w:val="single" w:sz="4" w:space="0" w:color="auto"/>
              <w:left w:val="nil"/>
              <w:bottom w:val="nil"/>
              <w:right w:val="nil"/>
            </w:tcBorders>
            <w:vAlign w:val="bottom"/>
          </w:tcPr>
          <w:p w14:paraId="7F648003" w14:textId="1AD3D030" w:rsidR="003F6C39" w:rsidRPr="000206BE" w:rsidRDefault="003F6C39" w:rsidP="003F6C39">
            <w:pPr>
              <w:autoSpaceDE w:val="0"/>
              <w:autoSpaceDN w:val="0"/>
              <w:adjustRightInd w:val="0"/>
              <w:rPr>
                <w:b/>
                <w:sz w:val="20"/>
              </w:rPr>
            </w:pPr>
            <w:r w:rsidRPr="000206BE">
              <w:rPr>
                <w:b/>
                <w:sz w:val="20"/>
              </w:rPr>
              <w:t>Balance, March 31, 20</w:t>
            </w:r>
            <w:r w:rsidR="00573978">
              <w:rPr>
                <w:b/>
                <w:sz w:val="20"/>
              </w:rPr>
              <w:t>20</w:t>
            </w:r>
          </w:p>
        </w:tc>
        <w:tc>
          <w:tcPr>
            <w:tcW w:w="2016" w:type="dxa"/>
            <w:tcBorders>
              <w:top w:val="single" w:sz="4" w:space="0" w:color="auto"/>
              <w:left w:val="nil"/>
              <w:bottom w:val="nil"/>
              <w:right w:val="nil"/>
            </w:tcBorders>
            <w:vAlign w:val="bottom"/>
          </w:tcPr>
          <w:p w14:paraId="4D900247" w14:textId="533378C1" w:rsidR="003F6C39" w:rsidRPr="000206BE" w:rsidRDefault="00140712" w:rsidP="003F6C39">
            <w:pPr>
              <w:autoSpaceDE w:val="0"/>
              <w:autoSpaceDN w:val="0"/>
              <w:adjustRightInd w:val="0"/>
              <w:jc w:val="right"/>
              <w:rPr>
                <w:b/>
                <w:sz w:val="20"/>
              </w:rPr>
            </w:pPr>
            <w:r>
              <w:rPr>
                <w:b/>
                <w:sz w:val="20"/>
              </w:rPr>
              <w:t>21,715,006</w:t>
            </w:r>
          </w:p>
        </w:tc>
        <w:tc>
          <w:tcPr>
            <w:tcW w:w="2178" w:type="dxa"/>
            <w:tcBorders>
              <w:top w:val="single" w:sz="4" w:space="0" w:color="auto"/>
              <w:left w:val="nil"/>
              <w:bottom w:val="nil"/>
              <w:right w:val="nil"/>
            </w:tcBorders>
            <w:vAlign w:val="bottom"/>
          </w:tcPr>
          <w:p w14:paraId="28B43C21" w14:textId="0AD34654" w:rsidR="003F6C39" w:rsidRPr="000206BE" w:rsidRDefault="003F6C39" w:rsidP="003F6C39">
            <w:pPr>
              <w:autoSpaceDE w:val="0"/>
              <w:autoSpaceDN w:val="0"/>
              <w:adjustRightInd w:val="0"/>
              <w:jc w:val="right"/>
              <w:rPr>
                <w:b/>
                <w:sz w:val="20"/>
              </w:rPr>
            </w:pPr>
            <w:r w:rsidRPr="000206BE">
              <w:rPr>
                <w:b/>
                <w:sz w:val="20"/>
              </w:rPr>
              <w:t>0.</w:t>
            </w:r>
            <w:r w:rsidR="00CC016A">
              <w:rPr>
                <w:b/>
                <w:sz w:val="20"/>
              </w:rPr>
              <w:t>1</w:t>
            </w:r>
            <w:r w:rsidR="00140712">
              <w:rPr>
                <w:b/>
                <w:sz w:val="20"/>
              </w:rPr>
              <w:t>6</w:t>
            </w:r>
          </w:p>
        </w:tc>
      </w:tr>
      <w:tr w:rsidR="00FF07B5" w:rsidRPr="000206BE" w14:paraId="4F221C5E" w14:textId="77777777" w:rsidTr="00F817A1">
        <w:trPr>
          <w:trHeight w:val="288"/>
        </w:trPr>
        <w:tc>
          <w:tcPr>
            <w:tcW w:w="4698" w:type="dxa"/>
            <w:tcBorders>
              <w:top w:val="nil"/>
              <w:left w:val="nil"/>
              <w:bottom w:val="single" w:sz="2" w:space="0" w:color="auto"/>
              <w:right w:val="nil"/>
            </w:tcBorders>
            <w:vAlign w:val="bottom"/>
          </w:tcPr>
          <w:p w14:paraId="5CC5A682" w14:textId="3281ABB5" w:rsidR="00FF07B5" w:rsidRPr="000206BE" w:rsidRDefault="00FF07B5" w:rsidP="00986897">
            <w:pPr>
              <w:autoSpaceDE w:val="0"/>
              <w:autoSpaceDN w:val="0"/>
              <w:adjustRightInd w:val="0"/>
              <w:rPr>
                <w:b/>
                <w:sz w:val="20"/>
              </w:rPr>
            </w:pPr>
            <w:r w:rsidRPr="000206BE">
              <w:rPr>
                <w:b/>
                <w:sz w:val="20"/>
              </w:rPr>
              <w:t xml:space="preserve">  </w:t>
            </w:r>
            <w:r w:rsidR="009B5080">
              <w:rPr>
                <w:sz w:val="20"/>
              </w:rPr>
              <w:t>Expired</w:t>
            </w:r>
          </w:p>
        </w:tc>
        <w:tc>
          <w:tcPr>
            <w:tcW w:w="2016" w:type="dxa"/>
            <w:tcBorders>
              <w:top w:val="nil"/>
              <w:left w:val="nil"/>
              <w:bottom w:val="single" w:sz="2" w:space="0" w:color="auto"/>
              <w:right w:val="nil"/>
            </w:tcBorders>
            <w:shd w:val="clear" w:color="auto" w:fill="auto"/>
            <w:vAlign w:val="bottom"/>
          </w:tcPr>
          <w:p w14:paraId="2591ADEF" w14:textId="545BDD70" w:rsidR="00FF07B5" w:rsidRPr="00AE0430" w:rsidRDefault="009B5080" w:rsidP="00986897">
            <w:pPr>
              <w:autoSpaceDE w:val="0"/>
              <w:autoSpaceDN w:val="0"/>
              <w:adjustRightInd w:val="0"/>
              <w:jc w:val="right"/>
              <w:rPr>
                <w:sz w:val="20"/>
              </w:rPr>
            </w:pPr>
            <w:r w:rsidRPr="00AE0430">
              <w:rPr>
                <w:sz w:val="20"/>
              </w:rPr>
              <w:t>(</w:t>
            </w:r>
            <w:r w:rsidR="00140712">
              <w:rPr>
                <w:sz w:val="20"/>
              </w:rPr>
              <w:t>10,159,450</w:t>
            </w:r>
            <w:r w:rsidRPr="00AE0430">
              <w:rPr>
                <w:sz w:val="20"/>
              </w:rPr>
              <w:t>)</w:t>
            </w:r>
          </w:p>
        </w:tc>
        <w:tc>
          <w:tcPr>
            <w:tcW w:w="2178" w:type="dxa"/>
            <w:tcBorders>
              <w:top w:val="nil"/>
              <w:left w:val="nil"/>
              <w:bottom w:val="single" w:sz="2" w:space="0" w:color="auto"/>
              <w:right w:val="nil"/>
            </w:tcBorders>
            <w:shd w:val="clear" w:color="auto" w:fill="auto"/>
            <w:vAlign w:val="bottom"/>
          </w:tcPr>
          <w:p w14:paraId="60CA6218" w14:textId="33D864B4" w:rsidR="00FF07B5" w:rsidRPr="00AE0430" w:rsidRDefault="009B5080" w:rsidP="00986897">
            <w:pPr>
              <w:autoSpaceDE w:val="0"/>
              <w:autoSpaceDN w:val="0"/>
              <w:adjustRightInd w:val="0"/>
              <w:jc w:val="right"/>
              <w:rPr>
                <w:sz w:val="20"/>
              </w:rPr>
            </w:pPr>
            <w:r w:rsidRPr="00AE0430">
              <w:rPr>
                <w:sz w:val="20"/>
              </w:rPr>
              <w:t>(0.</w:t>
            </w:r>
            <w:r w:rsidR="00140712">
              <w:rPr>
                <w:sz w:val="20"/>
              </w:rPr>
              <w:t>20</w:t>
            </w:r>
            <w:r w:rsidRPr="00AE0430">
              <w:rPr>
                <w:sz w:val="20"/>
              </w:rPr>
              <w:t>)</w:t>
            </w:r>
          </w:p>
        </w:tc>
      </w:tr>
      <w:tr w:rsidR="009B5080" w:rsidRPr="000206BE" w14:paraId="261F9B4E" w14:textId="77777777" w:rsidTr="00F817A1">
        <w:trPr>
          <w:trHeight w:val="288"/>
        </w:trPr>
        <w:tc>
          <w:tcPr>
            <w:tcW w:w="4698" w:type="dxa"/>
            <w:tcBorders>
              <w:top w:val="single" w:sz="2" w:space="0" w:color="auto"/>
              <w:left w:val="nil"/>
              <w:bottom w:val="double" w:sz="4" w:space="0" w:color="auto"/>
              <w:right w:val="nil"/>
            </w:tcBorders>
            <w:vAlign w:val="bottom"/>
          </w:tcPr>
          <w:p w14:paraId="6AA72055" w14:textId="3621ACEC" w:rsidR="009B5080" w:rsidRPr="000206BE" w:rsidRDefault="009B5080" w:rsidP="009B5080">
            <w:pPr>
              <w:autoSpaceDE w:val="0"/>
              <w:autoSpaceDN w:val="0"/>
              <w:adjustRightInd w:val="0"/>
              <w:rPr>
                <w:b/>
                <w:sz w:val="20"/>
              </w:rPr>
            </w:pPr>
            <w:r w:rsidRPr="000206BE">
              <w:rPr>
                <w:b/>
                <w:sz w:val="20"/>
              </w:rPr>
              <w:t xml:space="preserve">Balance, </w:t>
            </w:r>
            <w:r w:rsidR="00140712">
              <w:rPr>
                <w:b/>
                <w:sz w:val="20"/>
              </w:rPr>
              <w:t>June 30</w:t>
            </w:r>
            <w:r w:rsidRPr="000206BE">
              <w:rPr>
                <w:b/>
                <w:sz w:val="20"/>
              </w:rPr>
              <w:t>, 20</w:t>
            </w:r>
            <w:r>
              <w:rPr>
                <w:b/>
                <w:sz w:val="20"/>
              </w:rPr>
              <w:t>20</w:t>
            </w:r>
          </w:p>
        </w:tc>
        <w:tc>
          <w:tcPr>
            <w:tcW w:w="2016" w:type="dxa"/>
            <w:tcBorders>
              <w:top w:val="single" w:sz="2" w:space="0" w:color="auto"/>
              <w:left w:val="nil"/>
              <w:bottom w:val="double" w:sz="4" w:space="0" w:color="auto"/>
              <w:right w:val="nil"/>
            </w:tcBorders>
            <w:shd w:val="clear" w:color="auto" w:fill="auto"/>
            <w:vAlign w:val="bottom"/>
          </w:tcPr>
          <w:p w14:paraId="28904315" w14:textId="1DA88EE2" w:rsidR="009B5080" w:rsidRPr="00AE0430" w:rsidRDefault="00140712" w:rsidP="009B5080">
            <w:pPr>
              <w:autoSpaceDE w:val="0"/>
              <w:autoSpaceDN w:val="0"/>
              <w:adjustRightInd w:val="0"/>
              <w:jc w:val="right"/>
              <w:rPr>
                <w:b/>
                <w:sz w:val="20"/>
              </w:rPr>
            </w:pPr>
            <w:r>
              <w:rPr>
                <w:b/>
                <w:sz w:val="20"/>
              </w:rPr>
              <w:t>11,555,556</w:t>
            </w:r>
          </w:p>
        </w:tc>
        <w:tc>
          <w:tcPr>
            <w:tcW w:w="2178" w:type="dxa"/>
            <w:tcBorders>
              <w:top w:val="single" w:sz="2" w:space="0" w:color="auto"/>
              <w:left w:val="nil"/>
              <w:bottom w:val="double" w:sz="4" w:space="0" w:color="auto"/>
              <w:right w:val="nil"/>
            </w:tcBorders>
            <w:shd w:val="clear" w:color="auto" w:fill="auto"/>
            <w:vAlign w:val="bottom"/>
          </w:tcPr>
          <w:p w14:paraId="416A4D2D" w14:textId="731B854E" w:rsidR="009B5080" w:rsidRPr="00AE0430" w:rsidRDefault="009B5080" w:rsidP="009B5080">
            <w:pPr>
              <w:autoSpaceDE w:val="0"/>
              <w:autoSpaceDN w:val="0"/>
              <w:adjustRightInd w:val="0"/>
              <w:jc w:val="right"/>
              <w:rPr>
                <w:b/>
                <w:sz w:val="20"/>
              </w:rPr>
            </w:pPr>
            <w:r w:rsidRPr="00AE0430">
              <w:rPr>
                <w:b/>
                <w:sz w:val="20"/>
              </w:rPr>
              <w:t>0.</w:t>
            </w:r>
            <w:r w:rsidR="0059044F">
              <w:rPr>
                <w:b/>
                <w:sz w:val="20"/>
              </w:rPr>
              <w:t>1</w:t>
            </w:r>
            <w:r w:rsidR="00140712">
              <w:rPr>
                <w:b/>
                <w:sz w:val="20"/>
              </w:rPr>
              <w:t>3</w:t>
            </w:r>
          </w:p>
        </w:tc>
      </w:tr>
    </w:tbl>
    <w:bookmarkEnd w:id="10"/>
    <w:p w14:paraId="26FE8470" w14:textId="564D7353" w:rsidR="00C2667A" w:rsidRPr="00F817A1" w:rsidRDefault="00C2667A" w:rsidP="00C2667A">
      <w:pPr>
        <w:autoSpaceDE w:val="0"/>
        <w:autoSpaceDN w:val="0"/>
        <w:adjustRightInd w:val="0"/>
        <w:spacing w:before="120" w:after="120"/>
        <w:ind w:left="432"/>
        <w:jc w:val="both"/>
        <w:rPr>
          <w:spacing w:val="-2"/>
          <w:sz w:val="20"/>
        </w:rPr>
      </w:pPr>
      <w:r w:rsidRPr="00F817A1">
        <w:rPr>
          <w:spacing w:val="-2"/>
          <w:sz w:val="20"/>
        </w:rPr>
        <w:t xml:space="preserve">The remaining contractual life for the warrants outstanding was </w:t>
      </w:r>
      <w:r w:rsidR="003B6B9A">
        <w:rPr>
          <w:spacing w:val="-2"/>
          <w:sz w:val="20"/>
        </w:rPr>
        <w:t>1</w:t>
      </w:r>
      <w:r>
        <w:rPr>
          <w:spacing w:val="-2"/>
          <w:sz w:val="20"/>
        </w:rPr>
        <w:t>.</w:t>
      </w:r>
      <w:r w:rsidR="00ED0D89">
        <w:rPr>
          <w:spacing w:val="-2"/>
          <w:sz w:val="20"/>
        </w:rPr>
        <w:t>4</w:t>
      </w:r>
      <w:r>
        <w:rPr>
          <w:spacing w:val="-2"/>
          <w:sz w:val="20"/>
        </w:rPr>
        <w:t>0</w:t>
      </w:r>
      <w:r w:rsidRPr="00F817A1">
        <w:rPr>
          <w:spacing w:val="-2"/>
          <w:sz w:val="20"/>
        </w:rPr>
        <w:t xml:space="preserve"> years. </w:t>
      </w:r>
    </w:p>
    <w:tbl>
      <w:tblPr>
        <w:tblW w:w="8892"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0"/>
        <w:gridCol w:w="1680"/>
        <w:gridCol w:w="2262"/>
      </w:tblGrid>
      <w:tr w:rsidR="00C2667A" w:rsidRPr="000206BE" w14:paraId="0B56D1B2" w14:textId="77777777" w:rsidTr="00281D1B">
        <w:trPr>
          <w:trHeight w:val="216"/>
        </w:trPr>
        <w:tc>
          <w:tcPr>
            <w:tcW w:w="4950" w:type="dxa"/>
            <w:tcBorders>
              <w:top w:val="double" w:sz="4" w:space="0" w:color="auto"/>
              <w:left w:val="nil"/>
              <w:bottom w:val="single" w:sz="4" w:space="0" w:color="auto"/>
              <w:right w:val="nil"/>
            </w:tcBorders>
            <w:vAlign w:val="bottom"/>
          </w:tcPr>
          <w:p w14:paraId="0D2B8526" w14:textId="77777777" w:rsidR="00C2667A" w:rsidRPr="000206BE" w:rsidRDefault="00C2667A" w:rsidP="00281D1B">
            <w:pPr>
              <w:autoSpaceDE w:val="0"/>
              <w:autoSpaceDN w:val="0"/>
              <w:adjustRightInd w:val="0"/>
              <w:rPr>
                <w:b/>
                <w:sz w:val="20"/>
                <w:highlight w:val="yellow"/>
              </w:rPr>
            </w:pPr>
            <w:r w:rsidRPr="000206BE">
              <w:rPr>
                <w:b/>
                <w:sz w:val="20"/>
              </w:rPr>
              <w:t>Expiry Date</w:t>
            </w:r>
          </w:p>
        </w:tc>
        <w:tc>
          <w:tcPr>
            <w:tcW w:w="1680" w:type="dxa"/>
            <w:tcBorders>
              <w:top w:val="double" w:sz="4" w:space="0" w:color="auto"/>
              <w:left w:val="nil"/>
              <w:bottom w:val="single" w:sz="4" w:space="0" w:color="auto"/>
              <w:right w:val="nil"/>
            </w:tcBorders>
          </w:tcPr>
          <w:p w14:paraId="599FA8B8" w14:textId="77777777" w:rsidR="00C2667A" w:rsidRPr="000206BE" w:rsidRDefault="00C2667A" w:rsidP="00281D1B">
            <w:pPr>
              <w:widowControl/>
              <w:jc w:val="right"/>
              <w:rPr>
                <w:b/>
                <w:bCs/>
                <w:sz w:val="20"/>
              </w:rPr>
            </w:pPr>
            <w:r w:rsidRPr="000206BE">
              <w:rPr>
                <w:b/>
                <w:bCs/>
                <w:sz w:val="20"/>
              </w:rPr>
              <w:t>Exercise Price</w:t>
            </w:r>
          </w:p>
          <w:p w14:paraId="5D18713C" w14:textId="77777777" w:rsidR="00C2667A" w:rsidRPr="000206BE" w:rsidRDefault="00C2667A" w:rsidP="00281D1B">
            <w:pPr>
              <w:widowControl/>
              <w:jc w:val="right"/>
              <w:rPr>
                <w:b/>
                <w:bCs/>
                <w:sz w:val="20"/>
              </w:rPr>
            </w:pPr>
            <w:r w:rsidRPr="000206BE">
              <w:rPr>
                <w:b/>
                <w:bCs/>
                <w:sz w:val="20"/>
              </w:rPr>
              <w:t>$ </w:t>
            </w:r>
          </w:p>
        </w:tc>
        <w:tc>
          <w:tcPr>
            <w:tcW w:w="2262" w:type="dxa"/>
            <w:tcBorders>
              <w:top w:val="double" w:sz="4" w:space="0" w:color="auto"/>
              <w:left w:val="nil"/>
              <w:bottom w:val="single" w:sz="4" w:space="0" w:color="auto"/>
              <w:right w:val="nil"/>
            </w:tcBorders>
          </w:tcPr>
          <w:p w14:paraId="0DBCF533" w14:textId="77777777" w:rsidR="00C2667A" w:rsidRPr="000206BE" w:rsidRDefault="00C2667A" w:rsidP="00281D1B">
            <w:pPr>
              <w:widowControl/>
              <w:jc w:val="right"/>
              <w:rPr>
                <w:b/>
                <w:bCs/>
                <w:sz w:val="20"/>
              </w:rPr>
            </w:pPr>
            <w:r w:rsidRPr="000206BE">
              <w:rPr>
                <w:b/>
                <w:bCs/>
                <w:sz w:val="20"/>
              </w:rPr>
              <w:t>Number of Warrants</w:t>
            </w:r>
          </w:p>
          <w:p w14:paraId="2517564F" w14:textId="77777777" w:rsidR="00C2667A" w:rsidRPr="000206BE" w:rsidRDefault="00C2667A" w:rsidP="00281D1B">
            <w:pPr>
              <w:widowControl/>
              <w:jc w:val="right"/>
              <w:rPr>
                <w:b/>
                <w:bCs/>
                <w:sz w:val="20"/>
              </w:rPr>
            </w:pPr>
            <w:r w:rsidRPr="000206BE">
              <w:rPr>
                <w:b/>
                <w:bCs/>
                <w:sz w:val="20"/>
              </w:rPr>
              <w:t>#  </w:t>
            </w:r>
          </w:p>
        </w:tc>
      </w:tr>
      <w:tr w:rsidR="00C2667A" w:rsidRPr="000206BE" w14:paraId="6AA2AE4C" w14:textId="77777777" w:rsidTr="00281D1B">
        <w:trPr>
          <w:trHeight w:val="288"/>
        </w:trPr>
        <w:tc>
          <w:tcPr>
            <w:tcW w:w="4950" w:type="dxa"/>
            <w:tcBorders>
              <w:top w:val="single" w:sz="4" w:space="0" w:color="auto"/>
              <w:left w:val="nil"/>
              <w:bottom w:val="nil"/>
              <w:right w:val="nil"/>
            </w:tcBorders>
            <w:vAlign w:val="bottom"/>
          </w:tcPr>
          <w:p w14:paraId="1CB74799" w14:textId="77777777" w:rsidR="00C2667A" w:rsidRPr="000206BE" w:rsidRDefault="00C2667A" w:rsidP="00281D1B">
            <w:pPr>
              <w:autoSpaceDE w:val="0"/>
              <w:autoSpaceDN w:val="0"/>
              <w:adjustRightInd w:val="0"/>
              <w:rPr>
                <w:sz w:val="20"/>
              </w:rPr>
            </w:pPr>
            <w:r w:rsidRPr="000206BE">
              <w:rPr>
                <w:sz w:val="20"/>
              </w:rPr>
              <w:t>November 23, 20</w:t>
            </w:r>
            <w:r>
              <w:rPr>
                <w:sz w:val="20"/>
              </w:rPr>
              <w:t>21*</w:t>
            </w:r>
          </w:p>
        </w:tc>
        <w:tc>
          <w:tcPr>
            <w:tcW w:w="1680" w:type="dxa"/>
            <w:tcBorders>
              <w:top w:val="single" w:sz="4" w:space="0" w:color="auto"/>
              <w:left w:val="nil"/>
              <w:bottom w:val="nil"/>
              <w:right w:val="nil"/>
            </w:tcBorders>
            <w:vAlign w:val="bottom"/>
          </w:tcPr>
          <w:p w14:paraId="3E427952" w14:textId="77777777" w:rsidR="00C2667A" w:rsidRPr="000206BE" w:rsidRDefault="00C2667A" w:rsidP="00281D1B">
            <w:pPr>
              <w:autoSpaceDE w:val="0"/>
              <w:autoSpaceDN w:val="0"/>
              <w:adjustRightInd w:val="0"/>
              <w:jc w:val="right"/>
              <w:rPr>
                <w:sz w:val="20"/>
              </w:rPr>
            </w:pPr>
            <w:r w:rsidRPr="000206BE">
              <w:rPr>
                <w:sz w:val="20"/>
              </w:rPr>
              <w:t>0.13</w:t>
            </w:r>
          </w:p>
        </w:tc>
        <w:tc>
          <w:tcPr>
            <w:tcW w:w="2262" w:type="dxa"/>
            <w:tcBorders>
              <w:top w:val="single" w:sz="4" w:space="0" w:color="auto"/>
              <w:left w:val="nil"/>
              <w:bottom w:val="nil"/>
              <w:right w:val="nil"/>
            </w:tcBorders>
            <w:vAlign w:val="bottom"/>
          </w:tcPr>
          <w:p w14:paraId="1735163C" w14:textId="77777777" w:rsidR="00C2667A" w:rsidRPr="000206BE" w:rsidRDefault="00C2667A" w:rsidP="00281D1B">
            <w:pPr>
              <w:autoSpaceDE w:val="0"/>
              <w:autoSpaceDN w:val="0"/>
              <w:adjustRightInd w:val="0"/>
              <w:jc w:val="right"/>
              <w:rPr>
                <w:sz w:val="20"/>
              </w:rPr>
            </w:pPr>
            <w:r w:rsidRPr="000206BE">
              <w:rPr>
                <w:sz w:val="20"/>
              </w:rPr>
              <w:t>11,555,556</w:t>
            </w:r>
          </w:p>
        </w:tc>
      </w:tr>
      <w:tr w:rsidR="00C2667A" w:rsidRPr="000206BE" w14:paraId="6EDC6413" w14:textId="77777777" w:rsidTr="00281D1B">
        <w:trPr>
          <w:trHeight w:val="288"/>
        </w:trPr>
        <w:tc>
          <w:tcPr>
            <w:tcW w:w="4950" w:type="dxa"/>
            <w:tcBorders>
              <w:top w:val="single" w:sz="4" w:space="0" w:color="auto"/>
              <w:left w:val="nil"/>
              <w:bottom w:val="double" w:sz="4" w:space="0" w:color="auto"/>
              <w:right w:val="nil"/>
            </w:tcBorders>
            <w:vAlign w:val="bottom"/>
          </w:tcPr>
          <w:p w14:paraId="49123B06" w14:textId="77777777" w:rsidR="00C2667A" w:rsidRPr="000206BE" w:rsidRDefault="00C2667A" w:rsidP="00281D1B">
            <w:pPr>
              <w:autoSpaceDE w:val="0"/>
              <w:autoSpaceDN w:val="0"/>
              <w:adjustRightInd w:val="0"/>
              <w:rPr>
                <w:b/>
                <w:sz w:val="20"/>
              </w:rPr>
            </w:pPr>
          </w:p>
        </w:tc>
        <w:tc>
          <w:tcPr>
            <w:tcW w:w="1680" w:type="dxa"/>
            <w:tcBorders>
              <w:top w:val="single" w:sz="4" w:space="0" w:color="auto"/>
              <w:left w:val="nil"/>
              <w:bottom w:val="double" w:sz="4" w:space="0" w:color="auto"/>
              <w:right w:val="nil"/>
            </w:tcBorders>
            <w:vAlign w:val="bottom"/>
          </w:tcPr>
          <w:p w14:paraId="5B6F4412" w14:textId="77777777" w:rsidR="00C2667A" w:rsidRPr="000206BE" w:rsidRDefault="00C2667A" w:rsidP="00281D1B">
            <w:pPr>
              <w:autoSpaceDE w:val="0"/>
              <w:autoSpaceDN w:val="0"/>
              <w:adjustRightInd w:val="0"/>
              <w:jc w:val="right"/>
              <w:rPr>
                <w:b/>
                <w:sz w:val="20"/>
              </w:rPr>
            </w:pPr>
          </w:p>
        </w:tc>
        <w:tc>
          <w:tcPr>
            <w:tcW w:w="2262" w:type="dxa"/>
            <w:tcBorders>
              <w:top w:val="single" w:sz="4" w:space="0" w:color="auto"/>
              <w:left w:val="nil"/>
              <w:bottom w:val="double" w:sz="4" w:space="0" w:color="auto"/>
              <w:right w:val="nil"/>
            </w:tcBorders>
            <w:vAlign w:val="bottom"/>
          </w:tcPr>
          <w:p w14:paraId="56936026" w14:textId="2CA86DA0" w:rsidR="00C2667A" w:rsidRPr="000206BE" w:rsidRDefault="00140712" w:rsidP="00281D1B">
            <w:pPr>
              <w:autoSpaceDE w:val="0"/>
              <w:autoSpaceDN w:val="0"/>
              <w:adjustRightInd w:val="0"/>
              <w:jc w:val="right"/>
              <w:rPr>
                <w:b/>
                <w:sz w:val="20"/>
              </w:rPr>
            </w:pPr>
            <w:r>
              <w:rPr>
                <w:b/>
                <w:sz w:val="20"/>
              </w:rPr>
              <w:t>11,555,556</w:t>
            </w:r>
          </w:p>
        </w:tc>
      </w:tr>
    </w:tbl>
    <w:p w14:paraId="17F817AE" w14:textId="006588CA" w:rsidR="00C2667A" w:rsidRDefault="00C2667A" w:rsidP="002B2AE6">
      <w:pPr>
        <w:autoSpaceDE w:val="0"/>
        <w:autoSpaceDN w:val="0"/>
        <w:adjustRightInd w:val="0"/>
        <w:ind w:left="630" w:hanging="198"/>
        <w:jc w:val="both"/>
        <w:rPr>
          <w:spacing w:val="-2"/>
          <w:sz w:val="20"/>
        </w:rPr>
      </w:pPr>
      <w:r>
        <w:rPr>
          <w:spacing w:val="-2"/>
          <w:sz w:val="20"/>
        </w:rPr>
        <w:t xml:space="preserve">* </w:t>
      </w:r>
      <w:r w:rsidRPr="00F817A1">
        <w:rPr>
          <w:spacing w:val="-2"/>
          <w:sz w:val="20"/>
        </w:rPr>
        <w:t>The Company extended the life of 11,555,556 warrants with an exercise price of $0.1</w:t>
      </w:r>
      <w:r w:rsidR="002B2AE6">
        <w:rPr>
          <w:spacing w:val="-2"/>
          <w:sz w:val="20"/>
        </w:rPr>
        <w:t>3</w:t>
      </w:r>
      <w:r w:rsidRPr="00F817A1">
        <w:rPr>
          <w:spacing w:val="-2"/>
          <w:sz w:val="20"/>
        </w:rPr>
        <w:t xml:space="preserve"> </w:t>
      </w:r>
      <w:r w:rsidR="00476E8D">
        <w:rPr>
          <w:spacing w:val="-2"/>
          <w:sz w:val="20"/>
        </w:rPr>
        <w:t>originally</w:t>
      </w:r>
      <w:r w:rsidR="00476E8D" w:rsidRPr="00F817A1">
        <w:rPr>
          <w:spacing w:val="-2"/>
          <w:sz w:val="20"/>
        </w:rPr>
        <w:t xml:space="preserve"> expiring</w:t>
      </w:r>
      <w:r w:rsidRPr="00F817A1">
        <w:rPr>
          <w:spacing w:val="-2"/>
          <w:sz w:val="20"/>
        </w:rPr>
        <w:t xml:space="preserve"> on November 23, 20</w:t>
      </w:r>
      <w:r w:rsidR="002B2AE6">
        <w:rPr>
          <w:spacing w:val="-2"/>
          <w:sz w:val="20"/>
        </w:rPr>
        <w:t>19</w:t>
      </w:r>
      <w:r w:rsidRPr="00F817A1">
        <w:rPr>
          <w:spacing w:val="-2"/>
          <w:sz w:val="20"/>
        </w:rPr>
        <w:t xml:space="preserve"> for two years</w:t>
      </w:r>
      <w:r w:rsidR="002B2AE6">
        <w:rPr>
          <w:spacing w:val="-2"/>
          <w:sz w:val="20"/>
        </w:rPr>
        <w:t xml:space="preserve"> to November 23, 2021. </w:t>
      </w:r>
    </w:p>
    <w:p w14:paraId="54593D36" w14:textId="77777777" w:rsidR="00C2667A" w:rsidRPr="00F817A1" w:rsidRDefault="00C2667A" w:rsidP="00692813">
      <w:pPr>
        <w:widowControl/>
        <w:tabs>
          <w:tab w:val="left" w:pos="900"/>
        </w:tabs>
        <w:suppressAutoHyphens/>
        <w:overflowPunct w:val="0"/>
        <w:autoSpaceDE w:val="0"/>
        <w:autoSpaceDN w:val="0"/>
        <w:adjustRightInd w:val="0"/>
        <w:spacing w:before="240" w:after="120"/>
        <w:ind w:left="450"/>
        <w:jc w:val="both"/>
        <w:textAlignment w:val="baseline"/>
        <w:rPr>
          <w:b/>
          <w:spacing w:val="-3"/>
          <w:sz w:val="20"/>
        </w:rPr>
      </w:pPr>
      <w:r w:rsidRPr="00F817A1">
        <w:rPr>
          <w:b/>
          <w:spacing w:val="-3"/>
          <w:sz w:val="20"/>
        </w:rPr>
        <w:t xml:space="preserve">Options </w:t>
      </w:r>
    </w:p>
    <w:p w14:paraId="7E8E27A4" w14:textId="77777777" w:rsidR="00C2667A" w:rsidRPr="00F817A1" w:rsidRDefault="00C2667A" w:rsidP="00C2667A">
      <w:pPr>
        <w:autoSpaceDE w:val="0"/>
        <w:autoSpaceDN w:val="0"/>
        <w:adjustRightInd w:val="0"/>
        <w:spacing w:before="120" w:after="120"/>
        <w:ind w:left="432"/>
        <w:jc w:val="both"/>
        <w:rPr>
          <w:spacing w:val="-2"/>
          <w:sz w:val="20"/>
        </w:rPr>
      </w:pPr>
      <w:r w:rsidRPr="00F817A1">
        <w:rPr>
          <w:spacing w:val="-2"/>
          <w:sz w:val="20"/>
        </w:rPr>
        <w:t xml:space="preserve">The Company has an incentive stock option plan which provides that the Board of Directors of the Company may from time to time, in its discretion, grant to directors, officers, employees and technical consultants to the Company, non-transferable options to purchase common shares. The Company can grant up to 10% of the Company’s issued and outstanding share capital on a rolling basis.  Such options will be exercisable for a period of up to four years from the date of grant. Vesting terms are determined by the Board of Directors at the time of grant. </w:t>
      </w:r>
    </w:p>
    <w:p w14:paraId="2E93B56A" w14:textId="77777777" w:rsidR="00C2667A" w:rsidRPr="00F817A1" w:rsidRDefault="00C2667A" w:rsidP="00C2667A">
      <w:pPr>
        <w:autoSpaceDE w:val="0"/>
        <w:autoSpaceDN w:val="0"/>
        <w:adjustRightInd w:val="0"/>
        <w:spacing w:before="120" w:after="120"/>
        <w:ind w:left="432"/>
        <w:jc w:val="both"/>
        <w:rPr>
          <w:spacing w:val="-2"/>
          <w:sz w:val="20"/>
        </w:rPr>
      </w:pPr>
      <w:r w:rsidRPr="00F817A1">
        <w:rPr>
          <w:spacing w:val="-2"/>
          <w:sz w:val="20"/>
        </w:rPr>
        <w:t>The following table summarizes the changes in the outstanding stock options:</w:t>
      </w:r>
    </w:p>
    <w:tbl>
      <w:tblPr>
        <w:tblW w:w="8903" w:type="dxa"/>
        <w:tblInd w:w="450" w:type="dxa"/>
        <w:tblLayout w:type="fixed"/>
        <w:tblLook w:val="04A0" w:firstRow="1" w:lastRow="0" w:firstColumn="1" w:lastColumn="0" w:noHBand="0" w:noVBand="1"/>
      </w:tblPr>
      <w:tblGrid>
        <w:gridCol w:w="5490"/>
        <w:gridCol w:w="1656"/>
        <w:gridCol w:w="1757"/>
      </w:tblGrid>
      <w:tr w:rsidR="00C2667A" w:rsidRPr="000206BE" w14:paraId="3F6E7CB0" w14:textId="77777777" w:rsidTr="00281D1B">
        <w:trPr>
          <w:trHeight w:val="432"/>
        </w:trPr>
        <w:tc>
          <w:tcPr>
            <w:tcW w:w="5490" w:type="dxa"/>
            <w:tcBorders>
              <w:top w:val="double" w:sz="4" w:space="0" w:color="000000"/>
              <w:left w:val="nil"/>
              <w:bottom w:val="single" w:sz="6" w:space="0" w:color="000000"/>
              <w:right w:val="nil"/>
            </w:tcBorders>
            <w:shd w:val="clear" w:color="auto" w:fill="auto"/>
            <w:noWrap/>
            <w:vAlign w:val="bottom"/>
            <w:hideMark/>
          </w:tcPr>
          <w:p w14:paraId="73A380A4" w14:textId="77777777" w:rsidR="00C2667A" w:rsidRPr="000206BE" w:rsidRDefault="00C2667A" w:rsidP="00281D1B">
            <w:pPr>
              <w:widowControl/>
              <w:rPr>
                <w:b/>
                <w:bCs/>
                <w:sz w:val="20"/>
              </w:rPr>
            </w:pPr>
          </w:p>
        </w:tc>
        <w:tc>
          <w:tcPr>
            <w:tcW w:w="1656" w:type="dxa"/>
            <w:tcBorders>
              <w:top w:val="double" w:sz="4" w:space="0" w:color="000000"/>
              <w:left w:val="nil"/>
              <w:bottom w:val="single" w:sz="6" w:space="0" w:color="000000"/>
              <w:right w:val="nil"/>
            </w:tcBorders>
            <w:shd w:val="clear" w:color="auto" w:fill="auto"/>
            <w:vAlign w:val="bottom"/>
            <w:hideMark/>
          </w:tcPr>
          <w:p w14:paraId="628B0B50" w14:textId="77777777" w:rsidR="00C2667A" w:rsidRDefault="00C2667A" w:rsidP="00281D1B">
            <w:pPr>
              <w:widowControl/>
              <w:jc w:val="right"/>
              <w:rPr>
                <w:b/>
                <w:bCs/>
                <w:sz w:val="20"/>
              </w:rPr>
            </w:pPr>
            <w:r w:rsidRPr="000206BE">
              <w:rPr>
                <w:b/>
                <w:bCs/>
                <w:sz w:val="20"/>
              </w:rPr>
              <w:t>Number of options</w:t>
            </w:r>
          </w:p>
          <w:p w14:paraId="0B3DE018" w14:textId="77777777" w:rsidR="00C2667A" w:rsidRPr="000206BE" w:rsidRDefault="00C2667A" w:rsidP="00281D1B">
            <w:pPr>
              <w:widowControl/>
              <w:jc w:val="right"/>
              <w:rPr>
                <w:b/>
                <w:bCs/>
                <w:sz w:val="20"/>
              </w:rPr>
            </w:pPr>
            <w:r>
              <w:rPr>
                <w:b/>
                <w:bCs/>
                <w:sz w:val="20"/>
              </w:rPr>
              <w:t>#</w:t>
            </w:r>
            <w:r w:rsidRPr="000206BE">
              <w:rPr>
                <w:b/>
                <w:bCs/>
                <w:sz w:val="20"/>
              </w:rPr>
              <w:t xml:space="preserve"> </w:t>
            </w:r>
          </w:p>
        </w:tc>
        <w:tc>
          <w:tcPr>
            <w:tcW w:w="1757" w:type="dxa"/>
            <w:tcBorders>
              <w:top w:val="double" w:sz="4" w:space="0" w:color="000000"/>
              <w:left w:val="nil"/>
              <w:bottom w:val="single" w:sz="6" w:space="0" w:color="000000"/>
              <w:right w:val="nil"/>
            </w:tcBorders>
            <w:shd w:val="clear" w:color="auto" w:fill="auto"/>
            <w:vAlign w:val="bottom"/>
            <w:hideMark/>
          </w:tcPr>
          <w:p w14:paraId="5FCABF00" w14:textId="77777777" w:rsidR="00C2667A" w:rsidRDefault="00C2667A" w:rsidP="00281D1B">
            <w:pPr>
              <w:widowControl/>
              <w:jc w:val="right"/>
              <w:rPr>
                <w:b/>
                <w:bCs/>
                <w:sz w:val="20"/>
              </w:rPr>
            </w:pPr>
            <w:r w:rsidRPr="000206BE">
              <w:rPr>
                <w:b/>
                <w:bCs/>
                <w:sz w:val="20"/>
              </w:rPr>
              <w:t>Weighted average exercise price</w:t>
            </w:r>
          </w:p>
          <w:p w14:paraId="000E4B61" w14:textId="77777777" w:rsidR="00C2667A" w:rsidRPr="000206BE" w:rsidRDefault="00C2667A" w:rsidP="00281D1B">
            <w:pPr>
              <w:widowControl/>
              <w:jc w:val="right"/>
              <w:rPr>
                <w:b/>
                <w:bCs/>
                <w:sz w:val="20"/>
              </w:rPr>
            </w:pPr>
            <w:r>
              <w:rPr>
                <w:b/>
                <w:bCs/>
                <w:sz w:val="20"/>
              </w:rPr>
              <w:t>$</w:t>
            </w:r>
            <w:r w:rsidRPr="000206BE">
              <w:rPr>
                <w:b/>
                <w:bCs/>
                <w:sz w:val="20"/>
              </w:rPr>
              <w:t xml:space="preserve"> </w:t>
            </w:r>
          </w:p>
        </w:tc>
      </w:tr>
      <w:tr w:rsidR="00964F67" w:rsidRPr="000206BE" w14:paraId="2DE8F761" w14:textId="77777777" w:rsidTr="002A3306">
        <w:trPr>
          <w:trHeight w:val="58"/>
        </w:trPr>
        <w:tc>
          <w:tcPr>
            <w:tcW w:w="5490" w:type="dxa"/>
            <w:tcBorders>
              <w:top w:val="single" w:sz="4" w:space="0" w:color="auto"/>
              <w:left w:val="nil"/>
              <w:right w:val="nil"/>
            </w:tcBorders>
            <w:shd w:val="clear" w:color="auto" w:fill="auto"/>
            <w:noWrap/>
            <w:vAlign w:val="bottom"/>
          </w:tcPr>
          <w:p w14:paraId="71556602" w14:textId="77777777" w:rsidR="00964F67" w:rsidRPr="000206BE" w:rsidRDefault="00964F67" w:rsidP="002A3306">
            <w:pPr>
              <w:widowControl/>
              <w:rPr>
                <w:sz w:val="20"/>
              </w:rPr>
            </w:pPr>
            <w:r w:rsidRPr="000206BE">
              <w:rPr>
                <w:sz w:val="20"/>
              </w:rPr>
              <w:t>Balance - March 31, 2018</w:t>
            </w:r>
            <w:r>
              <w:rPr>
                <w:sz w:val="20"/>
              </w:rPr>
              <w:t xml:space="preserve"> </w:t>
            </w:r>
            <w:r w:rsidRPr="000206BE">
              <w:rPr>
                <w:sz w:val="20"/>
              </w:rPr>
              <w:t>and March 31, 2019</w:t>
            </w:r>
          </w:p>
        </w:tc>
        <w:tc>
          <w:tcPr>
            <w:tcW w:w="1656" w:type="dxa"/>
            <w:tcBorders>
              <w:top w:val="single" w:sz="4" w:space="0" w:color="auto"/>
              <w:left w:val="nil"/>
              <w:right w:val="nil"/>
            </w:tcBorders>
            <w:shd w:val="clear" w:color="auto" w:fill="auto"/>
            <w:noWrap/>
            <w:vAlign w:val="bottom"/>
          </w:tcPr>
          <w:p w14:paraId="7437609F" w14:textId="77777777" w:rsidR="00964F67" w:rsidRPr="000206BE" w:rsidRDefault="00964F67" w:rsidP="002A3306">
            <w:pPr>
              <w:widowControl/>
              <w:jc w:val="right"/>
              <w:rPr>
                <w:bCs/>
                <w:sz w:val="20"/>
              </w:rPr>
            </w:pPr>
            <w:r w:rsidRPr="000206BE">
              <w:rPr>
                <w:bCs/>
                <w:sz w:val="20"/>
              </w:rPr>
              <w:t>2,749,500</w:t>
            </w:r>
          </w:p>
        </w:tc>
        <w:tc>
          <w:tcPr>
            <w:tcW w:w="1757" w:type="dxa"/>
            <w:tcBorders>
              <w:top w:val="single" w:sz="4" w:space="0" w:color="auto"/>
              <w:left w:val="nil"/>
              <w:right w:val="nil"/>
            </w:tcBorders>
            <w:shd w:val="clear" w:color="auto" w:fill="auto"/>
            <w:noWrap/>
            <w:vAlign w:val="bottom"/>
          </w:tcPr>
          <w:p w14:paraId="0B82A462" w14:textId="77777777" w:rsidR="00964F67" w:rsidRPr="000206BE" w:rsidRDefault="00964F67" w:rsidP="002A3306">
            <w:pPr>
              <w:widowControl/>
              <w:ind w:firstLineChars="300" w:firstLine="600"/>
              <w:jc w:val="right"/>
              <w:rPr>
                <w:bCs/>
                <w:sz w:val="20"/>
              </w:rPr>
            </w:pPr>
            <w:r w:rsidRPr="000206BE">
              <w:rPr>
                <w:bCs/>
                <w:sz w:val="20"/>
              </w:rPr>
              <w:t>0.1</w:t>
            </w:r>
            <w:r>
              <w:rPr>
                <w:bCs/>
                <w:sz w:val="20"/>
              </w:rPr>
              <w:t>7</w:t>
            </w:r>
          </w:p>
        </w:tc>
      </w:tr>
      <w:tr w:rsidR="00964F67" w:rsidRPr="000206BE" w14:paraId="3DF26F81" w14:textId="77777777" w:rsidTr="00964F67">
        <w:trPr>
          <w:trHeight w:val="288"/>
        </w:trPr>
        <w:tc>
          <w:tcPr>
            <w:tcW w:w="5490" w:type="dxa"/>
            <w:tcBorders>
              <w:left w:val="nil"/>
              <w:bottom w:val="single" w:sz="4" w:space="0" w:color="auto"/>
              <w:right w:val="nil"/>
            </w:tcBorders>
            <w:shd w:val="clear" w:color="auto" w:fill="auto"/>
            <w:noWrap/>
            <w:vAlign w:val="bottom"/>
          </w:tcPr>
          <w:p w14:paraId="5D670B6B" w14:textId="77777777" w:rsidR="00964F67" w:rsidRPr="000206BE" w:rsidRDefault="00964F67" w:rsidP="002A3306">
            <w:pPr>
              <w:widowControl/>
              <w:ind w:firstLine="240"/>
              <w:rPr>
                <w:sz w:val="20"/>
              </w:rPr>
            </w:pPr>
            <w:r w:rsidRPr="000206BE">
              <w:rPr>
                <w:sz w:val="20"/>
              </w:rPr>
              <w:t>Issued</w:t>
            </w:r>
          </w:p>
        </w:tc>
        <w:tc>
          <w:tcPr>
            <w:tcW w:w="1656" w:type="dxa"/>
            <w:tcBorders>
              <w:left w:val="nil"/>
              <w:bottom w:val="single" w:sz="4" w:space="0" w:color="auto"/>
              <w:right w:val="nil"/>
            </w:tcBorders>
            <w:shd w:val="clear" w:color="auto" w:fill="auto"/>
            <w:noWrap/>
            <w:vAlign w:val="bottom"/>
          </w:tcPr>
          <w:p w14:paraId="552DF723" w14:textId="77777777" w:rsidR="00964F67" w:rsidRPr="000206BE" w:rsidRDefault="00964F67" w:rsidP="002A3306">
            <w:pPr>
              <w:widowControl/>
              <w:jc w:val="right"/>
              <w:rPr>
                <w:bCs/>
                <w:sz w:val="20"/>
              </w:rPr>
            </w:pPr>
            <w:r>
              <w:rPr>
                <w:bCs/>
                <w:sz w:val="20"/>
              </w:rPr>
              <w:t>6,900,000</w:t>
            </w:r>
          </w:p>
        </w:tc>
        <w:tc>
          <w:tcPr>
            <w:tcW w:w="1757" w:type="dxa"/>
            <w:tcBorders>
              <w:left w:val="nil"/>
              <w:bottom w:val="single" w:sz="4" w:space="0" w:color="auto"/>
              <w:right w:val="nil"/>
            </w:tcBorders>
            <w:shd w:val="clear" w:color="auto" w:fill="auto"/>
            <w:noWrap/>
            <w:vAlign w:val="bottom"/>
          </w:tcPr>
          <w:p w14:paraId="5F6EEFCD" w14:textId="77777777" w:rsidR="00964F67" w:rsidRPr="000206BE" w:rsidRDefault="00964F67" w:rsidP="002A3306">
            <w:pPr>
              <w:widowControl/>
              <w:ind w:firstLineChars="300" w:firstLine="600"/>
              <w:jc w:val="right"/>
              <w:rPr>
                <w:bCs/>
                <w:sz w:val="20"/>
              </w:rPr>
            </w:pPr>
            <w:r>
              <w:rPr>
                <w:bCs/>
                <w:sz w:val="20"/>
              </w:rPr>
              <w:t xml:space="preserve">  </w:t>
            </w:r>
            <w:r w:rsidRPr="000D1B08">
              <w:rPr>
                <w:bCs/>
                <w:sz w:val="20"/>
              </w:rPr>
              <w:t>0.08</w:t>
            </w:r>
          </w:p>
        </w:tc>
      </w:tr>
      <w:tr w:rsidR="00964F67" w:rsidRPr="000206BE" w14:paraId="116E9F32" w14:textId="77777777" w:rsidTr="005D12D0">
        <w:trPr>
          <w:trHeight w:val="58"/>
        </w:trPr>
        <w:tc>
          <w:tcPr>
            <w:tcW w:w="5490" w:type="dxa"/>
            <w:tcBorders>
              <w:top w:val="single" w:sz="4" w:space="0" w:color="auto"/>
              <w:left w:val="nil"/>
              <w:right w:val="nil"/>
            </w:tcBorders>
            <w:shd w:val="clear" w:color="auto" w:fill="auto"/>
            <w:noWrap/>
            <w:vAlign w:val="bottom"/>
          </w:tcPr>
          <w:p w14:paraId="18AC6E26" w14:textId="77777777" w:rsidR="00964F67" w:rsidRPr="000206BE" w:rsidRDefault="00964F67" w:rsidP="002A3306">
            <w:pPr>
              <w:widowControl/>
              <w:rPr>
                <w:sz w:val="20"/>
              </w:rPr>
            </w:pPr>
            <w:r w:rsidRPr="000206BE">
              <w:rPr>
                <w:sz w:val="20"/>
              </w:rPr>
              <w:t xml:space="preserve">Balance - March 31, </w:t>
            </w:r>
            <w:r>
              <w:rPr>
                <w:sz w:val="20"/>
              </w:rPr>
              <w:t>2020</w:t>
            </w:r>
          </w:p>
        </w:tc>
        <w:tc>
          <w:tcPr>
            <w:tcW w:w="1656" w:type="dxa"/>
            <w:tcBorders>
              <w:top w:val="single" w:sz="4" w:space="0" w:color="auto"/>
              <w:left w:val="nil"/>
              <w:right w:val="nil"/>
            </w:tcBorders>
            <w:shd w:val="clear" w:color="auto" w:fill="auto"/>
            <w:noWrap/>
            <w:vAlign w:val="bottom"/>
          </w:tcPr>
          <w:p w14:paraId="2A0A69D1" w14:textId="77777777" w:rsidR="00964F67" w:rsidRPr="000206BE" w:rsidRDefault="00964F67" w:rsidP="002A3306">
            <w:pPr>
              <w:widowControl/>
              <w:jc w:val="right"/>
              <w:rPr>
                <w:bCs/>
                <w:sz w:val="20"/>
              </w:rPr>
            </w:pPr>
            <w:r>
              <w:rPr>
                <w:bCs/>
                <w:sz w:val="20"/>
              </w:rPr>
              <w:t>9,649,500</w:t>
            </w:r>
          </w:p>
        </w:tc>
        <w:tc>
          <w:tcPr>
            <w:tcW w:w="1757" w:type="dxa"/>
            <w:tcBorders>
              <w:top w:val="single" w:sz="4" w:space="0" w:color="auto"/>
              <w:left w:val="nil"/>
              <w:right w:val="nil"/>
            </w:tcBorders>
            <w:shd w:val="clear" w:color="auto" w:fill="auto"/>
            <w:noWrap/>
            <w:vAlign w:val="bottom"/>
          </w:tcPr>
          <w:p w14:paraId="6C8A51BD" w14:textId="77777777" w:rsidR="00964F67" w:rsidRPr="000206BE" w:rsidRDefault="00964F67" w:rsidP="002A3306">
            <w:pPr>
              <w:widowControl/>
              <w:ind w:firstLineChars="300" w:firstLine="600"/>
              <w:jc w:val="right"/>
              <w:rPr>
                <w:bCs/>
                <w:sz w:val="20"/>
              </w:rPr>
            </w:pPr>
            <w:r w:rsidRPr="000206BE">
              <w:rPr>
                <w:bCs/>
                <w:sz w:val="20"/>
              </w:rPr>
              <w:t xml:space="preserve"> 0.1</w:t>
            </w:r>
            <w:r>
              <w:rPr>
                <w:bCs/>
                <w:sz w:val="20"/>
              </w:rPr>
              <w:t>0</w:t>
            </w:r>
          </w:p>
        </w:tc>
      </w:tr>
      <w:tr w:rsidR="00964F67" w:rsidRPr="000206BE" w14:paraId="5F530749" w14:textId="77777777" w:rsidTr="005D12D0">
        <w:trPr>
          <w:trHeight w:val="288"/>
        </w:trPr>
        <w:tc>
          <w:tcPr>
            <w:tcW w:w="5490" w:type="dxa"/>
            <w:tcBorders>
              <w:left w:val="nil"/>
              <w:right w:val="nil"/>
            </w:tcBorders>
            <w:shd w:val="clear" w:color="auto" w:fill="auto"/>
            <w:noWrap/>
            <w:vAlign w:val="bottom"/>
          </w:tcPr>
          <w:p w14:paraId="1379A4A4" w14:textId="6A0D6B34" w:rsidR="00964F67" w:rsidRPr="000206BE" w:rsidRDefault="005D12D0" w:rsidP="002A3306">
            <w:pPr>
              <w:widowControl/>
              <w:ind w:firstLine="240"/>
              <w:rPr>
                <w:sz w:val="20"/>
              </w:rPr>
            </w:pPr>
            <w:r>
              <w:rPr>
                <w:sz w:val="20"/>
              </w:rPr>
              <w:t>Exercised</w:t>
            </w:r>
          </w:p>
        </w:tc>
        <w:tc>
          <w:tcPr>
            <w:tcW w:w="1656" w:type="dxa"/>
            <w:tcBorders>
              <w:left w:val="nil"/>
              <w:right w:val="nil"/>
            </w:tcBorders>
            <w:shd w:val="clear" w:color="auto" w:fill="auto"/>
            <w:noWrap/>
            <w:vAlign w:val="bottom"/>
          </w:tcPr>
          <w:p w14:paraId="3CADD549" w14:textId="023D7603" w:rsidR="00964F67" w:rsidRPr="000206BE" w:rsidRDefault="005D12D0" w:rsidP="002A3306">
            <w:pPr>
              <w:widowControl/>
              <w:jc w:val="right"/>
              <w:rPr>
                <w:bCs/>
                <w:sz w:val="20"/>
              </w:rPr>
            </w:pPr>
            <w:r>
              <w:rPr>
                <w:bCs/>
                <w:sz w:val="20"/>
              </w:rPr>
              <w:t>(299,500)</w:t>
            </w:r>
          </w:p>
        </w:tc>
        <w:tc>
          <w:tcPr>
            <w:tcW w:w="1757" w:type="dxa"/>
            <w:tcBorders>
              <w:left w:val="nil"/>
              <w:right w:val="nil"/>
            </w:tcBorders>
            <w:shd w:val="clear" w:color="auto" w:fill="auto"/>
            <w:noWrap/>
            <w:vAlign w:val="bottom"/>
          </w:tcPr>
          <w:p w14:paraId="73DC23B7" w14:textId="10880DDC" w:rsidR="00964F67" w:rsidRPr="000206BE" w:rsidRDefault="00964F67" w:rsidP="002A3306">
            <w:pPr>
              <w:widowControl/>
              <w:ind w:firstLineChars="300" w:firstLine="600"/>
              <w:jc w:val="right"/>
              <w:rPr>
                <w:bCs/>
                <w:sz w:val="20"/>
              </w:rPr>
            </w:pPr>
            <w:r>
              <w:rPr>
                <w:bCs/>
                <w:sz w:val="20"/>
              </w:rPr>
              <w:t xml:space="preserve">  </w:t>
            </w:r>
            <w:r w:rsidRPr="000D1B08">
              <w:rPr>
                <w:bCs/>
                <w:sz w:val="20"/>
              </w:rPr>
              <w:t>0.</w:t>
            </w:r>
            <w:r w:rsidR="005D12D0">
              <w:rPr>
                <w:bCs/>
                <w:sz w:val="20"/>
              </w:rPr>
              <w:t>1</w:t>
            </w:r>
            <w:r w:rsidRPr="000D1B08">
              <w:rPr>
                <w:bCs/>
                <w:sz w:val="20"/>
              </w:rPr>
              <w:t>0</w:t>
            </w:r>
          </w:p>
        </w:tc>
      </w:tr>
      <w:tr w:rsidR="00C2667A" w:rsidRPr="000206BE" w14:paraId="18FD133C" w14:textId="77777777" w:rsidTr="00281D1B">
        <w:trPr>
          <w:trHeight w:val="58"/>
        </w:trPr>
        <w:tc>
          <w:tcPr>
            <w:tcW w:w="5490" w:type="dxa"/>
            <w:tcBorders>
              <w:top w:val="single" w:sz="4" w:space="0" w:color="auto"/>
              <w:left w:val="nil"/>
              <w:bottom w:val="double" w:sz="4" w:space="0" w:color="000000"/>
              <w:right w:val="nil"/>
            </w:tcBorders>
            <w:shd w:val="clear" w:color="auto" w:fill="auto"/>
            <w:noWrap/>
            <w:vAlign w:val="bottom"/>
          </w:tcPr>
          <w:p w14:paraId="48F0B737" w14:textId="4BA1010A" w:rsidR="00C2667A" w:rsidRPr="000206BE" w:rsidRDefault="00C2667A" w:rsidP="00281D1B">
            <w:pPr>
              <w:widowControl/>
              <w:rPr>
                <w:sz w:val="20"/>
              </w:rPr>
            </w:pPr>
            <w:r w:rsidRPr="000206BE">
              <w:rPr>
                <w:sz w:val="20"/>
              </w:rPr>
              <w:t xml:space="preserve">Balance </w:t>
            </w:r>
            <w:r w:rsidR="00953BE5">
              <w:rPr>
                <w:sz w:val="20"/>
              </w:rPr>
              <w:t>–</w:t>
            </w:r>
            <w:r w:rsidRPr="000206BE">
              <w:rPr>
                <w:sz w:val="20"/>
              </w:rPr>
              <w:t xml:space="preserve"> </w:t>
            </w:r>
            <w:r w:rsidR="00953BE5">
              <w:rPr>
                <w:sz w:val="20"/>
              </w:rPr>
              <w:t>June 30</w:t>
            </w:r>
            <w:r w:rsidRPr="000206BE">
              <w:rPr>
                <w:sz w:val="20"/>
              </w:rPr>
              <w:t xml:space="preserve">, </w:t>
            </w:r>
            <w:r>
              <w:rPr>
                <w:sz w:val="20"/>
              </w:rPr>
              <w:t>2020</w:t>
            </w:r>
          </w:p>
        </w:tc>
        <w:tc>
          <w:tcPr>
            <w:tcW w:w="1656" w:type="dxa"/>
            <w:tcBorders>
              <w:top w:val="single" w:sz="4" w:space="0" w:color="auto"/>
              <w:left w:val="nil"/>
              <w:bottom w:val="double" w:sz="4" w:space="0" w:color="000000"/>
              <w:right w:val="nil"/>
            </w:tcBorders>
            <w:shd w:val="clear" w:color="auto" w:fill="auto"/>
            <w:noWrap/>
            <w:vAlign w:val="bottom"/>
          </w:tcPr>
          <w:p w14:paraId="55B1A241" w14:textId="377A3CC4" w:rsidR="00C2667A" w:rsidRPr="000206BE" w:rsidRDefault="00C2667A" w:rsidP="00281D1B">
            <w:pPr>
              <w:widowControl/>
              <w:jc w:val="right"/>
              <w:rPr>
                <w:bCs/>
                <w:sz w:val="20"/>
              </w:rPr>
            </w:pPr>
            <w:r>
              <w:rPr>
                <w:bCs/>
                <w:sz w:val="20"/>
              </w:rPr>
              <w:t>9,</w:t>
            </w:r>
            <w:r w:rsidR="00953BE5">
              <w:rPr>
                <w:bCs/>
                <w:sz w:val="20"/>
              </w:rPr>
              <w:t>350,000</w:t>
            </w:r>
          </w:p>
        </w:tc>
        <w:tc>
          <w:tcPr>
            <w:tcW w:w="1757" w:type="dxa"/>
            <w:tcBorders>
              <w:top w:val="single" w:sz="4" w:space="0" w:color="auto"/>
              <w:left w:val="nil"/>
              <w:bottom w:val="double" w:sz="4" w:space="0" w:color="000000"/>
              <w:right w:val="nil"/>
            </w:tcBorders>
            <w:shd w:val="clear" w:color="auto" w:fill="auto"/>
            <w:noWrap/>
            <w:vAlign w:val="bottom"/>
          </w:tcPr>
          <w:p w14:paraId="1AAA7953" w14:textId="77777777" w:rsidR="00C2667A" w:rsidRPr="000206BE" w:rsidRDefault="00C2667A" w:rsidP="00281D1B">
            <w:pPr>
              <w:widowControl/>
              <w:ind w:firstLineChars="300" w:firstLine="600"/>
              <w:jc w:val="right"/>
              <w:rPr>
                <w:bCs/>
                <w:sz w:val="20"/>
              </w:rPr>
            </w:pPr>
            <w:r w:rsidRPr="000206BE">
              <w:rPr>
                <w:bCs/>
                <w:sz w:val="20"/>
              </w:rPr>
              <w:t xml:space="preserve"> 0.1</w:t>
            </w:r>
            <w:r>
              <w:rPr>
                <w:bCs/>
                <w:sz w:val="20"/>
              </w:rPr>
              <w:t>0</w:t>
            </w:r>
          </w:p>
        </w:tc>
      </w:tr>
    </w:tbl>
    <w:p w14:paraId="3FD7B379" w14:textId="67419495" w:rsidR="00C2667A" w:rsidRPr="00F817A1" w:rsidRDefault="00C2667A" w:rsidP="00C2667A">
      <w:pPr>
        <w:autoSpaceDE w:val="0"/>
        <w:autoSpaceDN w:val="0"/>
        <w:adjustRightInd w:val="0"/>
        <w:spacing w:before="120" w:after="120"/>
        <w:ind w:left="432"/>
        <w:jc w:val="both"/>
        <w:rPr>
          <w:spacing w:val="-2"/>
          <w:sz w:val="20"/>
        </w:rPr>
      </w:pPr>
      <w:r w:rsidRPr="00F817A1">
        <w:rPr>
          <w:spacing w:val="-2"/>
          <w:sz w:val="20"/>
        </w:rPr>
        <w:t xml:space="preserve">On June 13, 2019, the Company granted 200,000 stock options to an arm’s length consultant. The options vest 50% immediately and 50% on September 13, 2019, with an </w:t>
      </w:r>
      <w:r w:rsidR="00C41E5B" w:rsidRPr="00F817A1">
        <w:rPr>
          <w:spacing w:val="-2"/>
          <w:sz w:val="20"/>
        </w:rPr>
        <w:t>exercis</w:t>
      </w:r>
      <w:r w:rsidR="00C41E5B">
        <w:rPr>
          <w:spacing w:val="-2"/>
          <w:sz w:val="20"/>
        </w:rPr>
        <w:t>e</w:t>
      </w:r>
      <w:r w:rsidR="00C41E5B" w:rsidRPr="00F817A1">
        <w:rPr>
          <w:spacing w:val="-2"/>
          <w:sz w:val="20"/>
        </w:rPr>
        <w:t xml:space="preserve"> </w:t>
      </w:r>
      <w:r w:rsidRPr="00F817A1">
        <w:rPr>
          <w:spacing w:val="-2"/>
          <w:sz w:val="20"/>
        </w:rPr>
        <w:t xml:space="preserve">price of $0.16 for a period of five years. The stock option fair value was determined using </w:t>
      </w:r>
      <w:r w:rsidR="00C41E5B">
        <w:rPr>
          <w:spacing w:val="-2"/>
          <w:sz w:val="20"/>
        </w:rPr>
        <w:t xml:space="preserve">a </w:t>
      </w:r>
      <w:r w:rsidRPr="00F817A1">
        <w:rPr>
          <w:spacing w:val="-2"/>
          <w:sz w:val="20"/>
        </w:rPr>
        <w:t xml:space="preserve">Black Scholes </w:t>
      </w:r>
      <w:r w:rsidR="00C41E5B">
        <w:rPr>
          <w:spacing w:val="-2"/>
          <w:sz w:val="20"/>
        </w:rPr>
        <w:t>Option Pricing Model to be</w:t>
      </w:r>
      <w:r w:rsidRPr="00F817A1">
        <w:rPr>
          <w:spacing w:val="-2"/>
          <w:sz w:val="20"/>
        </w:rPr>
        <w:t xml:space="preserve"> $26,261 with the following inputs: stock price - $0.14; exercise price - $0.16; expected life – 5 years; volatility – 168%; and risk-free rate – 1.35%.</w:t>
      </w:r>
    </w:p>
    <w:p w14:paraId="111456F9" w14:textId="77777777" w:rsidR="00C2667A" w:rsidRPr="00F817A1" w:rsidRDefault="00C2667A" w:rsidP="00C2667A">
      <w:pPr>
        <w:autoSpaceDE w:val="0"/>
        <w:autoSpaceDN w:val="0"/>
        <w:adjustRightInd w:val="0"/>
        <w:spacing w:before="120" w:after="120"/>
        <w:ind w:left="630" w:hanging="198"/>
        <w:jc w:val="both"/>
        <w:rPr>
          <w:spacing w:val="-2"/>
          <w:sz w:val="20"/>
        </w:rPr>
      </w:pPr>
    </w:p>
    <w:p w14:paraId="2FBDB9FE" w14:textId="77777777" w:rsidR="00A10BEB" w:rsidRDefault="00A10BEB">
      <w:pPr>
        <w:widowControl/>
        <w:rPr>
          <w:b/>
          <w:spacing w:val="-2"/>
          <w:sz w:val="20"/>
        </w:rPr>
      </w:pPr>
      <w:r>
        <w:rPr>
          <w:b/>
          <w:spacing w:val="-2"/>
          <w:sz w:val="20"/>
        </w:rPr>
        <w:br w:type="page"/>
      </w:r>
    </w:p>
    <w:p w14:paraId="64B5A479" w14:textId="3C6D9608" w:rsidR="00A10BEB" w:rsidRPr="00AE0430" w:rsidRDefault="00A10BEB" w:rsidP="00C2667A">
      <w:pPr>
        <w:autoSpaceDE w:val="0"/>
        <w:autoSpaceDN w:val="0"/>
        <w:adjustRightInd w:val="0"/>
        <w:spacing w:before="120"/>
        <w:ind w:left="425" w:hanging="425"/>
        <w:jc w:val="both"/>
        <w:rPr>
          <w:sz w:val="20"/>
        </w:rPr>
      </w:pPr>
      <w:r>
        <w:rPr>
          <w:b/>
          <w:spacing w:val="-2"/>
          <w:sz w:val="20"/>
        </w:rPr>
        <w:lastRenderedPageBreak/>
        <w:t>7.</w:t>
      </w:r>
      <w:r>
        <w:rPr>
          <w:b/>
          <w:spacing w:val="-2"/>
          <w:sz w:val="20"/>
        </w:rPr>
        <w:tab/>
      </w:r>
      <w:r w:rsidRPr="00F817A1">
        <w:rPr>
          <w:b/>
          <w:spacing w:val="-2"/>
          <w:sz w:val="20"/>
        </w:rPr>
        <w:t>Share capital and reserves (continued)</w:t>
      </w:r>
    </w:p>
    <w:p w14:paraId="1F6D2CDE" w14:textId="3A5F14CB" w:rsidR="00C2667A" w:rsidRPr="00F817A1" w:rsidRDefault="00C2667A" w:rsidP="00F817A1">
      <w:pPr>
        <w:autoSpaceDE w:val="0"/>
        <w:autoSpaceDN w:val="0"/>
        <w:adjustRightInd w:val="0"/>
        <w:spacing w:before="120" w:after="120"/>
        <w:ind w:left="432"/>
        <w:jc w:val="both"/>
        <w:rPr>
          <w:spacing w:val="-2"/>
          <w:sz w:val="20"/>
        </w:rPr>
      </w:pPr>
      <w:bookmarkStart w:id="11" w:name="OLE_LINK1"/>
      <w:bookmarkStart w:id="12" w:name="OLE_LINK2"/>
      <w:r w:rsidRPr="00F817A1">
        <w:rPr>
          <w:b/>
          <w:spacing w:val="-3"/>
          <w:sz w:val="20"/>
        </w:rPr>
        <w:t>Options</w:t>
      </w:r>
      <w:r>
        <w:rPr>
          <w:b/>
          <w:spacing w:val="-3"/>
          <w:sz w:val="20"/>
        </w:rPr>
        <w:t xml:space="preserve"> (continued)</w:t>
      </w:r>
    </w:p>
    <w:p w14:paraId="38679A67" w14:textId="164B6FA4" w:rsidR="007927F1" w:rsidRPr="00F817A1" w:rsidRDefault="007927F1" w:rsidP="00F817A1">
      <w:pPr>
        <w:autoSpaceDE w:val="0"/>
        <w:autoSpaceDN w:val="0"/>
        <w:adjustRightInd w:val="0"/>
        <w:spacing w:before="120" w:after="120"/>
        <w:ind w:left="432"/>
        <w:jc w:val="both"/>
        <w:rPr>
          <w:spacing w:val="-2"/>
          <w:sz w:val="20"/>
        </w:rPr>
      </w:pPr>
      <w:r w:rsidRPr="00F817A1">
        <w:rPr>
          <w:spacing w:val="-2"/>
          <w:sz w:val="20"/>
        </w:rPr>
        <w:t xml:space="preserve">On August 28, 2019, the Company granted 6,000,000 stock options to arm’s length consultants. The options vested immediately, with an exercise price of $0.08 for a period of five years. The stock option fair value was determined using </w:t>
      </w:r>
      <w:r w:rsidR="00C41E5B">
        <w:rPr>
          <w:spacing w:val="-2"/>
          <w:sz w:val="20"/>
        </w:rPr>
        <w:t xml:space="preserve">a </w:t>
      </w:r>
      <w:r w:rsidRPr="00F817A1">
        <w:rPr>
          <w:spacing w:val="-2"/>
          <w:sz w:val="20"/>
        </w:rPr>
        <w:t>Black Scholes</w:t>
      </w:r>
      <w:r w:rsidR="00C41E5B">
        <w:rPr>
          <w:spacing w:val="-2"/>
          <w:sz w:val="20"/>
        </w:rPr>
        <w:t xml:space="preserve"> Option Pricing Model</w:t>
      </w:r>
      <w:r w:rsidRPr="00F817A1">
        <w:rPr>
          <w:spacing w:val="-2"/>
          <w:sz w:val="20"/>
        </w:rPr>
        <w:t xml:space="preserve"> </w:t>
      </w:r>
      <w:r w:rsidR="00C41E5B">
        <w:rPr>
          <w:spacing w:val="-2"/>
          <w:sz w:val="20"/>
        </w:rPr>
        <w:t>to be</w:t>
      </w:r>
      <w:r w:rsidRPr="00F817A1">
        <w:rPr>
          <w:spacing w:val="-2"/>
          <w:sz w:val="20"/>
        </w:rPr>
        <w:t xml:space="preserve"> $420,362 with the following inputs: stock price - $0.075; exercise price - $0.0</w:t>
      </w:r>
      <w:r w:rsidR="00477038">
        <w:rPr>
          <w:spacing w:val="-2"/>
          <w:sz w:val="20"/>
        </w:rPr>
        <w:t>8</w:t>
      </w:r>
      <w:r w:rsidRPr="00F817A1">
        <w:rPr>
          <w:spacing w:val="-2"/>
          <w:sz w:val="20"/>
        </w:rPr>
        <w:t xml:space="preserve">; expected life – 5 years; volatility – 167%; and </w:t>
      </w:r>
      <w:r w:rsidR="00F817A1" w:rsidRPr="00F817A1">
        <w:rPr>
          <w:spacing w:val="-2"/>
          <w:sz w:val="20"/>
        </w:rPr>
        <w:t>risk-free</w:t>
      </w:r>
      <w:r w:rsidRPr="00F817A1">
        <w:rPr>
          <w:spacing w:val="-2"/>
          <w:sz w:val="20"/>
        </w:rPr>
        <w:t xml:space="preserve"> rate – 1.23%.</w:t>
      </w:r>
    </w:p>
    <w:p w14:paraId="5442B8E1" w14:textId="1FE6DDAD" w:rsidR="007927F1" w:rsidRDefault="007927F1" w:rsidP="00F817A1">
      <w:pPr>
        <w:autoSpaceDE w:val="0"/>
        <w:autoSpaceDN w:val="0"/>
        <w:adjustRightInd w:val="0"/>
        <w:spacing w:before="120" w:after="120"/>
        <w:ind w:left="432"/>
        <w:jc w:val="both"/>
        <w:rPr>
          <w:spacing w:val="-2"/>
          <w:sz w:val="20"/>
        </w:rPr>
      </w:pPr>
      <w:r w:rsidRPr="00F817A1">
        <w:rPr>
          <w:spacing w:val="-2"/>
          <w:sz w:val="20"/>
        </w:rPr>
        <w:t xml:space="preserve">On October 11, 2019, the Company granted 700,000 stock options to directors, officers and consultants. The options vested immediately, with an exercise price of $0.09 for a period of five years. The stock option fair value was determined using </w:t>
      </w:r>
      <w:r w:rsidR="00C41E5B">
        <w:rPr>
          <w:spacing w:val="-2"/>
          <w:sz w:val="20"/>
        </w:rPr>
        <w:t xml:space="preserve">a </w:t>
      </w:r>
      <w:r w:rsidRPr="00F817A1">
        <w:rPr>
          <w:spacing w:val="-2"/>
          <w:sz w:val="20"/>
        </w:rPr>
        <w:t>Black Scholes</w:t>
      </w:r>
      <w:r w:rsidR="00C41E5B">
        <w:rPr>
          <w:spacing w:val="-2"/>
          <w:sz w:val="20"/>
        </w:rPr>
        <w:t xml:space="preserve"> Option Pricing Model to be</w:t>
      </w:r>
      <w:r w:rsidR="00E419EE">
        <w:rPr>
          <w:spacing w:val="-2"/>
          <w:sz w:val="20"/>
        </w:rPr>
        <w:t xml:space="preserve"> </w:t>
      </w:r>
      <w:r w:rsidRPr="00F817A1">
        <w:rPr>
          <w:spacing w:val="-2"/>
          <w:sz w:val="20"/>
        </w:rPr>
        <w:t xml:space="preserve">$58,888 with the following inputs: stock price - $0.09; exercise price - $0.09; expected life – 5 years; volatility – 163%; and </w:t>
      </w:r>
      <w:r w:rsidR="00F817A1" w:rsidRPr="00F817A1">
        <w:rPr>
          <w:spacing w:val="-2"/>
          <w:sz w:val="20"/>
        </w:rPr>
        <w:t>risk-free</w:t>
      </w:r>
      <w:r w:rsidRPr="00F817A1">
        <w:rPr>
          <w:spacing w:val="-2"/>
          <w:sz w:val="20"/>
        </w:rPr>
        <w:t xml:space="preserve"> rate – 1.55%.</w:t>
      </w:r>
    </w:p>
    <w:p w14:paraId="5377C9F2" w14:textId="7498F5B7" w:rsidR="00CC016A" w:rsidRPr="00F817A1" w:rsidRDefault="00CC016A" w:rsidP="00F817A1">
      <w:pPr>
        <w:autoSpaceDE w:val="0"/>
        <w:autoSpaceDN w:val="0"/>
        <w:adjustRightInd w:val="0"/>
        <w:spacing w:before="120" w:after="120"/>
        <w:ind w:left="432"/>
        <w:jc w:val="both"/>
        <w:rPr>
          <w:spacing w:val="-2"/>
          <w:sz w:val="20"/>
        </w:rPr>
      </w:pPr>
      <w:r>
        <w:rPr>
          <w:spacing w:val="-2"/>
          <w:sz w:val="20"/>
        </w:rPr>
        <w:t xml:space="preserve">The Company recognized stock-based compensation </w:t>
      </w:r>
      <w:r w:rsidR="00964F67">
        <w:rPr>
          <w:spacing w:val="-2"/>
          <w:sz w:val="20"/>
        </w:rPr>
        <w:t>of</w:t>
      </w:r>
      <w:r>
        <w:rPr>
          <w:spacing w:val="-2"/>
          <w:sz w:val="20"/>
        </w:rPr>
        <w:t xml:space="preserve"> $</w:t>
      </w:r>
      <w:r w:rsidR="00964F67">
        <w:rPr>
          <w:spacing w:val="-2"/>
          <w:sz w:val="20"/>
        </w:rPr>
        <w:t>Nil</w:t>
      </w:r>
      <w:r>
        <w:rPr>
          <w:spacing w:val="-2"/>
          <w:sz w:val="20"/>
        </w:rPr>
        <w:t xml:space="preserve"> during the </w:t>
      </w:r>
      <w:r w:rsidR="00964F67">
        <w:rPr>
          <w:spacing w:val="-2"/>
          <w:sz w:val="20"/>
        </w:rPr>
        <w:t>three-month period</w:t>
      </w:r>
      <w:r>
        <w:rPr>
          <w:spacing w:val="-2"/>
          <w:sz w:val="20"/>
        </w:rPr>
        <w:t xml:space="preserve"> ended </w:t>
      </w:r>
      <w:r w:rsidR="00964F67">
        <w:rPr>
          <w:spacing w:val="-2"/>
          <w:sz w:val="20"/>
        </w:rPr>
        <w:t>June</w:t>
      </w:r>
      <w:r>
        <w:rPr>
          <w:spacing w:val="-2"/>
          <w:sz w:val="20"/>
        </w:rPr>
        <w:t xml:space="preserve"> 3</w:t>
      </w:r>
      <w:r w:rsidR="00964F67">
        <w:rPr>
          <w:spacing w:val="-2"/>
          <w:sz w:val="20"/>
        </w:rPr>
        <w:t>0</w:t>
      </w:r>
      <w:r>
        <w:rPr>
          <w:spacing w:val="-2"/>
          <w:sz w:val="20"/>
        </w:rPr>
        <w:t>, 2020 (</w:t>
      </w:r>
      <w:r w:rsidR="00964F67">
        <w:rPr>
          <w:spacing w:val="-2"/>
          <w:sz w:val="20"/>
        </w:rPr>
        <w:t xml:space="preserve">Year ended March 31, </w:t>
      </w:r>
      <w:r>
        <w:rPr>
          <w:spacing w:val="-2"/>
          <w:sz w:val="20"/>
        </w:rPr>
        <w:t>20</w:t>
      </w:r>
      <w:r w:rsidR="00964F67">
        <w:rPr>
          <w:spacing w:val="-2"/>
          <w:sz w:val="20"/>
        </w:rPr>
        <w:t>20</w:t>
      </w:r>
      <w:r>
        <w:rPr>
          <w:spacing w:val="-2"/>
          <w:sz w:val="20"/>
        </w:rPr>
        <w:t>: $</w:t>
      </w:r>
      <w:r w:rsidR="00964F67">
        <w:rPr>
          <w:spacing w:val="-2"/>
          <w:sz w:val="20"/>
        </w:rPr>
        <w:t>505,511</w:t>
      </w:r>
      <w:r>
        <w:rPr>
          <w:spacing w:val="-2"/>
          <w:sz w:val="20"/>
        </w:rPr>
        <w:t xml:space="preserve">) </w:t>
      </w:r>
    </w:p>
    <w:p w14:paraId="44978E68" w14:textId="3025AD6D" w:rsidR="00C2667A" w:rsidRPr="00F817A1" w:rsidRDefault="00C2667A" w:rsidP="00C2667A">
      <w:pPr>
        <w:autoSpaceDE w:val="0"/>
        <w:autoSpaceDN w:val="0"/>
        <w:adjustRightInd w:val="0"/>
        <w:spacing w:before="120" w:after="120"/>
        <w:ind w:left="432"/>
        <w:jc w:val="both"/>
        <w:rPr>
          <w:spacing w:val="-2"/>
          <w:sz w:val="20"/>
        </w:rPr>
      </w:pPr>
      <w:r w:rsidRPr="00F817A1">
        <w:rPr>
          <w:spacing w:val="-2"/>
          <w:sz w:val="20"/>
        </w:rPr>
        <w:t xml:space="preserve">The expiry and exercise prices of stock options outstanding and exercisable as at </w:t>
      </w:r>
      <w:r w:rsidR="00953BE5">
        <w:rPr>
          <w:spacing w:val="-2"/>
          <w:sz w:val="20"/>
        </w:rPr>
        <w:t>June 30</w:t>
      </w:r>
      <w:r w:rsidRPr="00F817A1">
        <w:rPr>
          <w:spacing w:val="-2"/>
          <w:sz w:val="20"/>
        </w:rPr>
        <w:t>, 2020 is as follows:</w:t>
      </w:r>
    </w:p>
    <w:tbl>
      <w:tblPr>
        <w:tblW w:w="88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0"/>
        <w:gridCol w:w="1971"/>
        <w:gridCol w:w="1971"/>
      </w:tblGrid>
      <w:tr w:rsidR="00C2667A" w:rsidRPr="000206BE" w14:paraId="63643E1E" w14:textId="77777777" w:rsidTr="00281D1B">
        <w:trPr>
          <w:trHeight w:val="216"/>
        </w:trPr>
        <w:tc>
          <w:tcPr>
            <w:tcW w:w="4950" w:type="dxa"/>
            <w:tcBorders>
              <w:top w:val="double" w:sz="4" w:space="0" w:color="auto"/>
              <w:left w:val="nil"/>
              <w:bottom w:val="single" w:sz="4" w:space="0" w:color="auto"/>
              <w:right w:val="nil"/>
            </w:tcBorders>
            <w:vAlign w:val="bottom"/>
          </w:tcPr>
          <w:p w14:paraId="053F14E9" w14:textId="77777777" w:rsidR="00C2667A" w:rsidRPr="000206BE" w:rsidRDefault="00C2667A" w:rsidP="00281D1B">
            <w:pPr>
              <w:autoSpaceDE w:val="0"/>
              <w:autoSpaceDN w:val="0"/>
              <w:adjustRightInd w:val="0"/>
              <w:rPr>
                <w:b/>
                <w:sz w:val="20"/>
                <w:highlight w:val="yellow"/>
              </w:rPr>
            </w:pPr>
            <w:r w:rsidRPr="000206BE">
              <w:rPr>
                <w:b/>
                <w:sz w:val="20"/>
              </w:rPr>
              <w:t>Expiry Date</w:t>
            </w:r>
          </w:p>
        </w:tc>
        <w:tc>
          <w:tcPr>
            <w:tcW w:w="1971" w:type="dxa"/>
            <w:tcBorders>
              <w:top w:val="double" w:sz="4" w:space="0" w:color="auto"/>
              <w:left w:val="nil"/>
              <w:bottom w:val="single" w:sz="4" w:space="0" w:color="auto"/>
              <w:right w:val="nil"/>
            </w:tcBorders>
            <w:vAlign w:val="bottom"/>
          </w:tcPr>
          <w:p w14:paraId="6011DC0D" w14:textId="77777777" w:rsidR="00C2667A" w:rsidRPr="000206BE" w:rsidRDefault="00C2667A" w:rsidP="00281D1B">
            <w:pPr>
              <w:widowControl/>
              <w:jc w:val="right"/>
              <w:rPr>
                <w:b/>
                <w:bCs/>
                <w:sz w:val="20"/>
              </w:rPr>
            </w:pPr>
            <w:r w:rsidRPr="000206BE">
              <w:rPr>
                <w:b/>
                <w:bCs/>
                <w:sz w:val="20"/>
              </w:rPr>
              <w:t>Exercise Price</w:t>
            </w:r>
          </w:p>
          <w:p w14:paraId="2833BB69" w14:textId="77777777" w:rsidR="00C2667A" w:rsidRPr="000206BE" w:rsidRDefault="00C2667A" w:rsidP="00281D1B">
            <w:pPr>
              <w:widowControl/>
              <w:jc w:val="right"/>
              <w:rPr>
                <w:b/>
                <w:bCs/>
                <w:sz w:val="20"/>
              </w:rPr>
            </w:pPr>
            <w:r w:rsidRPr="000206BE">
              <w:rPr>
                <w:b/>
                <w:bCs/>
                <w:sz w:val="20"/>
              </w:rPr>
              <w:t>$ </w:t>
            </w:r>
          </w:p>
        </w:tc>
        <w:tc>
          <w:tcPr>
            <w:tcW w:w="1971" w:type="dxa"/>
            <w:tcBorders>
              <w:top w:val="double" w:sz="4" w:space="0" w:color="auto"/>
              <w:left w:val="nil"/>
              <w:bottom w:val="single" w:sz="4" w:space="0" w:color="auto"/>
              <w:right w:val="nil"/>
            </w:tcBorders>
            <w:vAlign w:val="bottom"/>
          </w:tcPr>
          <w:p w14:paraId="63A97911" w14:textId="77777777" w:rsidR="00C2667A" w:rsidRPr="000206BE" w:rsidRDefault="00C2667A" w:rsidP="00281D1B">
            <w:pPr>
              <w:widowControl/>
              <w:jc w:val="right"/>
              <w:rPr>
                <w:b/>
                <w:bCs/>
                <w:sz w:val="20"/>
              </w:rPr>
            </w:pPr>
            <w:r w:rsidRPr="000206BE">
              <w:rPr>
                <w:b/>
                <w:bCs/>
                <w:sz w:val="20"/>
              </w:rPr>
              <w:t>Number of options outstanding and exercisable</w:t>
            </w:r>
          </w:p>
          <w:p w14:paraId="77967DC7" w14:textId="77777777" w:rsidR="00C2667A" w:rsidRPr="00477038" w:rsidRDefault="00C2667A" w:rsidP="00281D1B">
            <w:pPr>
              <w:widowControl/>
              <w:jc w:val="right"/>
              <w:rPr>
                <w:b/>
                <w:bCs/>
                <w:sz w:val="20"/>
              </w:rPr>
            </w:pPr>
            <w:r w:rsidRPr="00477038">
              <w:rPr>
                <w:b/>
                <w:bCs/>
                <w:sz w:val="20"/>
              </w:rPr>
              <w:t>#  </w:t>
            </w:r>
          </w:p>
        </w:tc>
      </w:tr>
      <w:tr w:rsidR="00C2667A" w:rsidRPr="000206BE" w14:paraId="7D411C10" w14:textId="77777777" w:rsidTr="00281D1B">
        <w:trPr>
          <w:trHeight w:val="216"/>
        </w:trPr>
        <w:tc>
          <w:tcPr>
            <w:tcW w:w="4950" w:type="dxa"/>
            <w:tcBorders>
              <w:top w:val="nil"/>
              <w:left w:val="nil"/>
              <w:bottom w:val="nil"/>
              <w:right w:val="nil"/>
            </w:tcBorders>
            <w:vAlign w:val="bottom"/>
          </w:tcPr>
          <w:p w14:paraId="1F67220B" w14:textId="77777777" w:rsidR="00C2667A" w:rsidRPr="000206BE" w:rsidRDefault="00C2667A" w:rsidP="00281D1B">
            <w:pPr>
              <w:autoSpaceDE w:val="0"/>
              <w:autoSpaceDN w:val="0"/>
              <w:adjustRightInd w:val="0"/>
              <w:rPr>
                <w:sz w:val="20"/>
              </w:rPr>
            </w:pPr>
            <w:r w:rsidRPr="000206BE">
              <w:rPr>
                <w:sz w:val="20"/>
              </w:rPr>
              <w:t>March 9, 2023</w:t>
            </w:r>
          </w:p>
        </w:tc>
        <w:tc>
          <w:tcPr>
            <w:tcW w:w="1971" w:type="dxa"/>
            <w:tcBorders>
              <w:top w:val="nil"/>
              <w:left w:val="nil"/>
              <w:bottom w:val="nil"/>
              <w:right w:val="nil"/>
            </w:tcBorders>
            <w:shd w:val="clear" w:color="auto" w:fill="auto"/>
            <w:vAlign w:val="bottom"/>
          </w:tcPr>
          <w:p w14:paraId="5291D2DE" w14:textId="77777777" w:rsidR="00C2667A" w:rsidRPr="00477038" w:rsidRDefault="00C2667A" w:rsidP="00281D1B">
            <w:pPr>
              <w:widowControl/>
              <w:jc w:val="right"/>
              <w:rPr>
                <w:bCs/>
                <w:sz w:val="20"/>
              </w:rPr>
            </w:pPr>
            <w:r w:rsidRPr="00477038">
              <w:rPr>
                <w:bCs/>
                <w:sz w:val="20"/>
              </w:rPr>
              <w:t>0.1</w:t>
            </w:r>
            <w:r>
              <w:rPr>
                <w:bCs/>
                <w:sz w:val="20"/>
              </w:rPr>
              <w:t>7</w:t>
            </w:r>
          </w:p>
        </w:tc>
        <w:tc>
          <w:tcPr>
            <w:tcW w:w="1971" w:type="dxa"/>
            <w:tcBorders>
              <w:top w:val="nil"/>
              <w:left w:val="nil"/>
              <w:bottom w:val="nil"/>
              <w:right w:val="nil"/>
            </w:tcBorders>
            <w:shd w:val="clear" w:color="auto" w:fill="auto"/>
            <w:vAlign w:val="bottom"/>
          </w:tcPr>
          <w:p w14:paraId="3F536471" w14:textId="77777777" w:rsidR="00C2667A" w:rsidRPr="00477038" w:rsidRDefault="00C2667A" w:rsidP="00281D1B">
            <w:pPr>
              <w:widowControl/>
              <w:jc w:val="right"/>
              <w:rPr>
                <w:bCs/>
                <w:sz w:val="20"/>
              </w:rPr>
            </w:pPr>
            <w:r w:rsidRPr="00477038">
              <w:rPr>
                <w:bCs/>
                <w:sz w:val="20"/>
              </w:rPr>
              <w:t>2,500,000</w:t>
            </w:r>
          </w:p>
        </w:tc>
      </w:tr>
      <w:tr w:rsidR="00C2667A" w:rsidRPr="000206BE" w14:paraId="28F9C9AC" w14:textId="77777777" w:rsidTr="00281D1B">
        <w:trPr>
          <w:trHeight w:val="216"/>
        </w:trPr>
        <w:tc>
          <w:tcPr>
            <w:tcW w:w="4950" w:type="dxa"/>
            <w:tcBorders>
              <w:top w:val="nil"/>
              <w:left w:val="nil"/>
              <w:bottom w:val="nil"/>
              <w:right w:val="nil"/>
            </w:tcBorders>
            <w:vAlign w:val="bottom"/>
          </w:tcPr>
          <w:p w14:paraId="45DE89EC" w14:textId="77777777" w:rsidR="00C2667A" w:rsidRPr="000206BE" w:rsidRDefault="00C2667A" w:rsidP="00281D1B">
            <w:pPr>
              <w:autoSpaceDE w:val="0"/>
              <w:autoSpaceDN w:val="0"/>
              <w:adjustRightInd w:val="0"/>
              <w:rPr>
                <w:sz w:val="20"/>
              </w:rPr>
            </w:pPr>
            <w:r>
              <w:rPr>
                <w:sz w:val="20"/>
              </w:rPr>
              <w:t>June 13, 2024</w:t>
            </w:r>
          </w:p>
        </w:tc>
        <w:tc>
          <w:tcPr>
            <w:tcW w:w="1971" w:type="dxa"/>
            <w:tcBorders>
              <w:top w:val="nil"/>
              <w:left w:val="nil"/>
              <w:bottom w:val="nil"/>
              <w:right w:val="nil"/>
            </w:tcBorders>
            <w:shd w:val="clear" w:color="auto" w:fill="auto"/>
            <w:vAlign w:val="bottom"/>
          </w:tcPr>
          <w:p w14:paraId="055E032C" w14:textId="77777777" w:rsidR="00C2667A" w:rsidRPr="00477038" w:rsidRDefault="00C2667A" w:rsidP="00281D1B">
            <w:pPr>
              <w:widowControl/>
              <w:jc w:val="right"/>
              <w:rPr>
                <w:bCs/>
                <w:sz w:val="20"/>
              </w:rPr>
            </w:pPr>
            <w:r w:rsidRPr="00477038">
              <w:rPr>
                <w:bCs/>
                <w:sz w:val="20"/>
              </w:rPr>
              <w:t>0.16</w:t>
            </w:r>
          </w:p>
        </w:tc>
        <w:tc>
          <w:tcPr>
            <w:tcW w:w="1971" w:type="dxa"/>
            <w:tcBorders>
              <w:top w:val="nil"/>
              <w:left w:val="nil"/>
              <w:bottom w:val="nil"/>
              <w:right w:val="nil"/>
            </w:tcBorders>
            <w:shd w:val="clear" w:color="auto" w:fill="auto"/>
            <w:vAlign w:val="bottom"/>
          </w:tcPr>
          <w:p w14:paraId="02AC59B3" w14:textId="77777777" w:rsidR="00C2667A" w:rsidRPr="00477038" w:rsidRDefault="00C2667A" w:rsidP="00281D1B">
            <w:pPr>
              <w:widowControl/>
              <w:jc w:val="right"/>
              <w:rPr>
                <w:bCs/>
                <w:sz w:val="20"/>
              </w:rPr>
            </w:pPr>
            <w:r w:rsidRPr="00477038">
              <w:rPr>
                <w:bCs/>
                <w:sz w:val="20"/>
              </w:rPr>
              <w:t>200,000</w:t>
            </w:r>
          </w:p>
        </w:tc>
      </w:tr>
      <w:tr w:rsidR="00C2667A" w:rsidRPr="000206BE" w14:paraId="792A2CA0" w14:textId="77777777" w:rsidTr="00281D1B">
        <w:trPr>
          <w:trHeight w:val="216"/>
        </w:trPr>
        <w:tc>
          <w:tcPr>
            <w:tcW w:w="4950" w:type="dxa"/>
            <w:tcBorders>
              <w:top w:val="nil"/>
              <w:left w:val="nil"/>
              <w:bottom w:val="nil"/>
              <w:right w:val="nil"/>
            </w:tcBorders>
            <w:vAlign w:val="bottom"/>
          </w:tcPr>
          <w:p w14:paraId="11BA9452" w14:textId="77777777" w:rsidR="00C2667A" w:rsidRPr="000206BE" w:rsidRDefault="00C2667A" w:rsidP="00281D1B">
            <w:pPr>
              <w:autoSpaceDE w:val="0"/>
              <w:autoSpaceDN w:val="0"/>
              <w:adjustRightInd w:val="0"/>
              <w:rPr>
                <w:sz w:val="20"/>
              </w:rPr>
            </w:pPr>
            <w:r>
              <w:rPr>
                <w:sz w:val="20"/>
              </w:rPr>
              <w:t>August 28, 2024</w:t>
            </w:r>
          </w:p>
        </w:tc>
        <w:tc>
          <w:tcPr>
            <w:tcW w:w="1971" w:type="dxa"/>
            <w:tcBorders>
              <w:top w:val="nil"/>
              <w:left w:val="nil"/>
              <w:bottom w:val="nil"/>
              <w:right w:val="nil"/>
            </w:tcBorders>
            <w:shd w:val="clear" w:color="auto" w:fill="auto"/>
            <w:vAlign w:val="bottom"/>
          </w:tcPr>
          <w:p w14:paraId="3DD8C72F" w14:textId="77777777" w:rsidR="00C2667A" w:rsidRPr="00477038" w:rsidRDefault="00C2667A" w:rsidP="00281D1B">
            <w:pPr>
              <w:widowControl/>
              <w:jc w:val="right"/>
              <w:rPr>
                <w:bCs/>
                <w:sz w:val="20"/>
              </w:rPr>
            </w:pPr>
            <w:r w:rsidRPr="00477038">
              <w:rPr>
                <w:bCs/>
                <w:sz w:val="20"/>
              </w:rPr>
              <w:t>0.08</w:t>
            </w:r>
          </w:p>
        </w:tc>
        <w:tc>
          <w:tcPr>
            <w:tcW w:w="1971" w:type="dxa"/>
            <w:tcBorders>
              <w:top w:val="nil"/>
              <w:left w:val="nil"/>
              <w:bottom w:val="nil"/>
              <w:right w:val="nil"/>
            </w:tcBorders>
            <w:shd w:val="clear" w:color="auto" w:fill="auto"/>
            <w:vAlign w:val="bottom"/>
          </w:tcPr>
          <w:p w14:paraId="405E3529" w14:textId="50F77E95" w:rsidR="00C2667A" w:rsidRPr="00477038" w:rsidRDefault="00DD11F7" w:rsidP="00281D1B">
            <w:pPr>
              <w:widowControl/>
              <w:jc w:val="right"/>
              <w:rPr>
                <w:bCs/>
                <w:sz w:val="20"/>
              </w:rPr>
            </w:pPr>
            <w:r>
              <w:rPr>
                <w:bCs/>
                <w:sz w:val="20"/>
              </w:rPr>
              <w:t>5</w:t>
            </w:r>
            <w:r w:rsidR="00C2667A" w:rsidRPr="00477038">
              <w:rPr>
                <w:bCs/>
                <w:sz w:val="20"/>
              </w:rPr>
              <w:t>,</w:t>
            </w:r>
            <w:r>
              <w:rPr>
                <w:bCs/>
                <w:sz w:val="20"/>
              </w:rPr>
              <w:t>950</w:t>
            </w:r>
            <w:r w:rsidR="00C2667A" w:rsidRPr="00477038">
              <w:rPr>
                <w:bCs/>
                <w:sz w:val="20"/>
              </w:rPr>
              <w:t>,000</w:t>
            </w:r>
          </w:p>
        </w:tc>
      </w:tr>
      <w:tr w:rsidR="00C2667A" w:rsidRPr="000206BE" w14:paraId="5506DDFA" w14:textId="77777777" w:rsidTr="00281D1B">
        <w:trPr>
          <w:trHeight w:val="216"/>
        </w:trPr>
        <w:tc>
          <w:tcPr>
            <w:tcW w:w="4950" w:type="dxa"/>
            <w:tcBorders>
              <w:top w:val="nil"/>
              <w:left w:val="nil"/>
              <w:bottom w:val="nil"/>
              <w:right w:val="nil"/>
            </w:tcBorders>
            <w:vAlign w:val="bottom"/>
          </w:tcPr>
          <w:p w14:paraId="61FEE1F2" w14:textId="77777777" w:rsidR="00C2667A" w:rsidRPr="000206BE" w:rsidRDefault="00C2667A" w:rsidP="00281D1B">
            <w:pPr>
              <w:autoSpaceDE w:val="0"/>
              <w:autoSpaceDN w:val="0"/>
              <w:adjustRightInd w:val="0"/>
              <w:rPr>
                <w:sz w:val="20"/>
              </w:rPr>
            </w:pPr>
            <w:r>
              <w:rPr>
                <w:sz w:val="20"/>
              </w:rPr>
              <w:t>October 11, 2024</w:t>
            </w:r>
          </w:p>
        </w:tc>
        <w:tc>
          <w:tcPr>
            <w:tcW w:w="1971" w:type="dxa"/>
            <w:tcBorders>
              <w:top w:val="nil"/>
              <w:left w:val="nil"/>
              <w:bottom w:val="nil"/>
              <w:right w:val="nil"/>
            </w:tcBorders>
            <w:shd w:val="clear" w:color="auto" w:fill="auto"/>
            <w:vAlign w:val="bottom"/>
          </w:tcPr>
          <w:p w14:paraId="0A2EE971" w14:textId="77777777" w:rsidR="00C2667A" w:rsidRPr="00477038" w:rsidRDefault="00C2667A" w:rsidP="00281D1B">
            <w:pPr>
              <w:widowControl/>
              <w:jc w:val="right"/>
              <w:rPr>
                <w:bCs/>
                <w:sz w:val="20"/>
              </w:rPr>
            </w:pPr>
            <w:r w:rsidRPr="00477038">
              <w:rPr>
                <w:bCs/>
                <w:sz w:val="20"/>
              </w:rPr>
              <w:t>0.09</w:t>
            </w:r>
          </w:p>
        </w:tc>
        <w:tc>
          <w:tcPr>
            <w:tcW w:w="1971" w:type="dxa"/>
            <w:tcBorders>
              <w:top w:val="nil"/>
              <w:left w:val="nil"/>
              <w:bottom w:val="nil"/>
              <w:right w:val="nil"/>
            </w:tcBorders>
            <w:shd w:val="clear" w:color="auto" w:fill="auto"/>
            <w:vAlign w:val="bottom"/>
          </w:tcPr>
          <w:p w14:paraId="44BE5670" w14:textId="77777777" w:rsidR="00C2667A" w:rsidRPr="00477038" w:rsidRDefault="00C2667A" w:rsidP="00281D1B">
            <w:pPr>
              <w:widowControl/>
              <w:jc w:val="right"/>
              <w:rPr>
                <w:bCs/>
                <w:sz w:val="20"/>
              </w:rPr>
            </w:pPr>
            <w:r w:rsidRPr="00477038">
              <w:rPr>
                <w:bCs/>
                <w:sz w:val="20"/>
              </w:rPr>
              <w:t>700,000</w:t>
            </w:r>
          </w:p>
        </w:tc>
      </w:tr>
      <w:tr w:rsidR="00C2667A" w:rsidRPr="000206BE" w14:paraId="6A4B535D" w14:textId="77777777" w:rsidTr="00281D1B">
        <w:trPr>
          <w:trHeight w:val="216"/>
        </w:trPr>
        <w:tc>
          <w:tcPr>
            <w:tcW w:w="4950" w:type="dxa"/>
            <w:tcBorders>
              <w:top w:val="single" w:sz="4" w:space="0" w:color="auto"/>
              <w:left w:val="nil"/>
              <w:bottom w:val="double" w:sz="4" w:space="0" w:color="auto"/>
              <w:right w:val="nil"/>
            </w:tcBorders>
            <w:vAlign w:val="bottom"/>
          </w:tcPr>
          <w:p w14:paraId="037EB11E" w14:textId="77777777" w:rsidR="00C2667A" w:rsidRPr="000206BE" w:rsidRDefault="00C2667A" w:rsidP="00281D1B">
            <w:pPr>
              <w:autoSpaceDE w:val="0"/>
              <w:autoSpaceDN w:val="0"/>
              <w:adjustRightInd w:val="0"/>
              <w:rPr>
                <w:b/>
                <w:sz w:val="20"/>
              </w:rPr>
            </w:pPr>
          </w:p>
        </w:tc>
        <w:tc>
          <w:tcPr>
            <w:tcW w:w="1971" w:type="dxa"/>
            <w:tcBorders>
              <w:top w:val="single" w:sz="4" w:space="0" w:color="auto"/>
              <w:left w:val="nil"/>
              <w:bottom w:val="double" w:sz="4" w:space="0" w:color="auto"/>
              <w:right w:val="nil"/>
            </w:tcBorders>
            <w:shd w:val="clear" w:color="auto" w:fill="auto"/>
            <w:vAlign w:val="bottom"/>
          </w:tcPr>
          <w:p w14:paraId="2E5D7197" w14:textId="77777777" w:rsidR="00C2667A" w:rsidRPr="00477038" w:rsidRDefault="00C2667A" w:rsidP="00281D1B">
            <w:pPr>
              <w:widowControl/>
              <w:jc w:val="right"/>
              <w:rPr>
                <w:bCs/>
                <w:sz w:val="20"/>
              </w:rPr>
            </w:pPr>
          </w:p>
        </w:tc>
        <w:tc>
          <w:tcPr>
            <w:tcW w:w="1971" w:type="dxa"/>
            <w:tcBorders>
              <w:top w:val="single" w:sz="4" w:space="0" w:color="auto"/>
              <w:left w:val="nil"/>
              <w:bottom w:val="double" w:sz="4" w:space="0" w:color="auto"/>
              <w:right w:val="nil"/>
            </w:tcBorders>
            <w:shd w:val="clear" w:color="auto" w:fill="auto"/>
            <w:vAlign w:val="bottom"/>
          </w:tcPr>
          <w:p w14:paraId="51DB6F58" w14:textId="187F37D3" w:rsidR="00C2667A" w:rsidRPr="00477038" w:rsidRDefault="00C2667A" w:rsidP="00281D1B">
            <w:pPr>
              <w:widowControl/>
              <w:jc w:val="right"/>
              <w:rPr>
                <w:bCs/>
                <w:sz w:val="20"/>
              </w:rPr>
            </w:pPr>
            <w:r w:rsidRPr="00477038">
              <w:rPr>
                <w:bCs/>
                <w:sz w:val="20"/>
              </w:rPr>
              <w:t>9,</w:t>
            </w:r>
            <w:r w:rsidR="00DD11F7">
              <w:rPr>
                <w:bCs/>
                <w:sz w:val="20"/>
              </w:rPr>
              <w:t>350</w:t>
            </w:r>
            <w:r w:rsidRPr="00477038">
              <w:rPr>
                <w:bCs/>
                <w:sz w:val="20"/>
              </w:rPr>
              <w:t>,</w:t>
            </w:r>
            <w:r w:rsidR="00DD11F7">
              <w:rPr>
                <w:bCs/>
                <w:sz w:val="20"/>
              </w:rPr>
              <w:t>0</w:t>
            </w:r>
            <w:r w:rsidRPr="00477038">
              <w:rPr>
                <w:bCs/>
                <w:sz w:val="20"/>
              </w:rPr>
              <w:t>00</w:t>
            </w:r>
          </w:p>
        </w:tc>
      </w:tr>
    </w:tbl>
    <w:p w14:paraId="714E202D" w14:textId="1E6A4569" w:rsidR="00C2667A" w:rsidRPr="000206BE" w:rsidRDefault="00C2667A" w:rsidP="00C2667A">
      <w:pPr>
        <w:autoSpaceDE w:val="0"/>
        <w:autoSpaceDN w:val="0"/>
        <w:adjustRightInd w:val="0"/>
        <w:spacing w:before="120" w:after="120"/>
        <w:ind w:left="432"/>
        <w:jc w:val="both"/>
        <w:rPr>
          <w:sz w:val="20"/>
        </w:rPr>
      </w:pPr>
      <w:r w:rsidRPr="00F817A1">
        <w:rPr>
          <w:spacing w:val="-2"/>
          <w:sz w:val="20"/>
        </w:rPr>
        <w:t xml:space="preserve">The weighted average life of outstanding </w:t>
      </w:r>
      <w:r w:rsidRPr="00477038">
        <w:rPr>
          <w:sz w:val="20"/>
        </w:rPr>
        <w:t>options</w:t>
      </w:r>
      <w:r w:rsidRPr="000206BE">
        <w:rPr>
          <w:sz w:val="20"/>
        </w:rPr>
        <w:t xml:space="preserve"> is </w:t>
      </w:r>
      <w:r w:rsidRPr="00477038">
        <w:rPr>
          <w:sz w:val="20"/>
        </w:rPr>
        <w:t>3.</w:t>
      </w:r>
      <w:r w:rsidR="00FE5949">
        <w:rPr>
          <w:sz w:val="20"/>
        </w:rPr>
        <w:t>77</w:t>
      </w:r>
      <w:r w:rsidRPr="000206BE">
        <w:rPr>
          <w:sz w:val="20"/>
        </w:rPr>
        <w:t xml:space="preserve"> years. </w:t>
      </w:r>
    </w:p>
    <w:p w14:paraId="5D354A18" w14:textId="77777777" w:rsidR="00C2667A" w:rsidRPr="00F817A1" w:rsidRDefault="00C2667A" w:rsidP="00C2667A">
      <w:pPr>
        <w:widowControl/>
        <w:tabs>
          <w:tab w:val="left" w:pos="900"/>
        </w:tabs>
        <w:suppressAutoHyphens/>
        <w:overflowPunct w:val="0"/>
        <w:autoSpaceDE w:val="0"/>
        <w:autoSpaceDN w:val="0"/>
        <w:adjustRightInd w:val="0"/>
        <w:spacing w:after="120"/>
        <w:ind w:left="450"/>
        <w:jc w:val="both"/>
        <w:textAlignment w:val="baseline"/>
        <w:rPr>
          <w:b/>
          <w:spacing w:val="-3"/>
          <w:sz w:val="20"/>
        </w:rPr>
      </w:pPr>
      <w:r w:rsidRPr="00F817A1">
        <w:rPr>
          <w:b/>
          <w:spacing w:val="-3"/>
          <w:sz w:val="20"/>
        </w:rPr>
        <w:t>Share-based payment reserve</w:t>
      </w:r>
    </w:p>
    <w:p w14:paraId="60685C59" w14:textId="77777777" w:rsidR="00C2667A" w:rsidRPr="00F817A1" w:rsidRDefault="00C2667A" w:rsidP="00C2667A">
      <w:pPr>
        <w:autoSpaceDE w:val="0"/>
        <w:autoSpaceDN w:val="0"/>
        <w:adjustRightInd w:val="0"/>
        <w:spacing w:before="120" w:after="120"/>
        <w:ind w:left="432"/>
        <w:jc w:val="both"/>
        <w:rPr>
          <w:spacing w:val="-2"/>
          <w:sz w:val="20"/>
        </w:rPr>
      </w:pPr>
      <w:r w:rsidRPr="00F817A1">
        <w:rPr>
          <w:spacing w:val="-2"/>
          <w:sz w:val="20"/>
        </w:rPr>
        <w:t xml:space="preserve">Share-based payment reserve records the stock-based compensation expenses and warrant payments for services. At the time that stock options and warrants are exercised, the corresponding amount will be transferred to share capital. </w:t>
      </w:r>
    </w:p>
    <w:p w14:paraId="738321FD" w14:textId="77777777" w:rsidR="008B7870" w:rsidRPr="00F817A1" w:rsidRDefault="008B7870" w:rsidP="008B7870">
      <w:pPr>
        <w:autoSpaceDE w:val="0"/>
        <w:autoSpaceDN w:val="0"/>
        <w:adjustRightInd w:val="0"/>
        <w:spacing w:before="120"/>
        <w:ind w:left="425" w:hanging="425"/>
        <w:jc w:val="both"/>
        <w:rPr>
          <w:b/>
          <w:spacing w:val="-2"/>
          <w:sz w:val="20"/>
        </w:rPr>
      </w:pPr>
      <w:r>
        <w:rPr>
          <w:b/>
          <w:spacing w:val="-2"/>
          <w:sz w:val="20"/>
        </w:rPr>
        <w:t>8.</w:t>
      </w:r>
      <w:r>
        <w:rPr>
          <w:b/>
          <w:spacing w:val="-2"/>
          <w:sz w:val="20"/>
        </w:rPr>
        <w:tab/>
      </w:r>
      <w:r w:rsidRPr="00F817A1">
        <w:rPr>
          <w:b/>
          <w:spacing w:val="-2"/>
          <w:sz w:val="20"/>
        </w:rPr>
        <w:t>Expenses by nature</w:t>
      </w:r>
    </w:p>
    <w:p w14:paraId="08BBE1B9" w14:textId="77777777" w:rsidR="008B7870" w:rsidRPr="000206BE" w:rsidRDefault="008B7870" w:rsidP="008B7870">
      <w:pPr>
        <w:pStyle w:val="Normal2B"/>
        <w:widowControl/>
        <w:autoSpaceDE w:val="0"/>
        <w:autoSpaceDN w:val="0"/>
        <w:adjustRightInd w:val="0"/>
        <w:ind w:left="425"/>
        <w:rPr>
          <w:rFonts w:ascii="Times New Roman" w:hAnsi="Times New Roman"/>
          <w:caps w:val="0"/>
          <w:spacing w:val="0"/>
          <w:sz w:val="20"/>
          <w:lang w:val="en-US"/>
        </w:rPr>
      </w:pPr>
    </w:p>
    <w:p w14:paraId="2ACF1E98" w14:textId="77777777" w:rsidR="008B7870" w:rsidRPr="00F817A1" w:rsidRDefault="008B7870" w:rsidP="008B7870">
      <w:pPr>
        <w:autoSpaceDE w:val="0"/>
        <w:autoSpaceDN w:val="0"/>
        <w:adjustRightInd w:val="0"/>
        <w:spacing w:after="120"/>
        <w:ind w:left="432"/>
        <w:jc w:val="both"/>
        <w:rPr>
          <w:spacing w:val="-2"/>
          <w:sz w:val="20"/>
        </w:rPr>
      </w:pPr>
      <w:r w:rsidRPr="00F817A1">
        <w:rPr>
          <w:spacing w:val="-2"/>
          <w:sz w:val="20"/>
        </w:rPr>
        <w:t>General and administrative expenses by nature consist of the following:</w:t>
      </w:r>
    </w:p>
    <w:tbl>
      <w:tblPr>
        <w:tblW w:w="8910" w:type="dxa"/>
        <w:tblInd w:w="450" w:type="dxa"/>
        <w:tblLayout w:type="fixed"/>
        <w:tblLook w:val="00A0" w:firstRow="1" w:lastRow="0" w:firstColumn="1" w:lastColumn="0" w:noHBand="0" w:noVBand="0"/>
      </w:tblPr>
      <w:tblGrid>
        <w:gridCol w:w="5130"/>
        <w:gridCol w:w="270"/>
        <w:gridCol w:w="1651"/>
        <w:gridCol w:w="306"/>
        <w:gridCol w:w="1553"/>
      </w:tblGrid>
      <w:tr w:rsidR="008B7870" w:rsidRPr="003F6C39" w14:paraId="1FD8337A" w14:textId="77777777" w:rsidTr="00281D1B">
        <w:trPr>
          <w:trHeight w:val="216"/>
        </w:trPr>
        <w:tc>
          <w:tcPr>
            <w:tcW w:w="5130" w:type="dxa"/>
            <w:tcBorders>
              <w:top w:val="double" w:sz="4" w:space="0" w:color="auto"/>
              <w:left w:val="nil"/>
              <w:right w:val="nil"/>
            </w:tcBorders>
            <w:shd w:val="clear" w:color="000000" w:fill="FFFFFF"/>
            <w:noWrap/>
            <w:vAlign w:val="bottom"/>
          </w:tcPr>
          <w:p w14:paraId="66D58362" w14:textId="4579A3E1" w:rsidR="008B7870" w:rsidRPr="000206BE" w:rsidRDefault="008B7870" w:rsidP="00C41E5B">
            <w:pPr>
              <w:widowControl/>
              <w:ind w:firstLine="176"/>
              <w:rPr>
                <w:i/>
                <w:sz w:val="20"/>
                <w:lang w:val="en-CA" w:eastAsia="en-CA"/>
              </w:rPr>
            </w:pPr>
          </w:p>
        </w:tc>
        <w:tc>
          <w:tcPr>
            <w:tcW w:w="270" w:type="dxa"/>
            <w:tcBorders>
              <w:top w:val="double" w:sz="4" w:space="0" w:color="auto"/>
              <w:left w:val="nil"/>
              <w:right w:val="nil"/>
            </w:tcBorders>
            <w:shd w:val="clear" w:color="000000" w:fill="FFFFFF"/>
          </w:tcPr>
          <w:p w14:paraId="281E4276" w14:textId="77777777" w:rsidR="008B7870" w:rsidRPr="000206BE" w:rsidRDefault="008B7870" w:rsidP="00281D1B">
            <w:pPr>
              <w:suppressAutoHyphens/>
              <w:overflowPunct w:val="0"/>
              <w:autoSpaceDE w:val="0"/>
              <w:autoSpaceDN w:val="0"/>
              <w:adjustRightInd w:val="0"/>
              <w:spacing w:line="100" w:lineRule="atLeast"/>
              <w:ind w:right="108"/>
              <w:jc w:val="right"/>
              <w:textAlignment w:val="baseline"/>
              <w:rPr>
                <w:b/>
                <w:spacing w:val="-2"/>
                <w:sz w:val="20"/>
              </w:rPr>
            </w:pPr>
          </w:p>
        </w:tc>
        <w:tc>
          <w:tcPr>
            <w:tcW w:w="1651" w:type="dxa"/>
            <w:tcBorders>
              <w:top w:val="double" w:sz="4" w:space="0" w:color="auto"/>
              <w:left w:val="nil"/>
              <w:right w:val="nil"/>
            </w:tcBorders>
            <w:shd w:val="clear" w:color="000000" w:fill="FFFFFF"/>
            <w:vAlign w:val="bottom"/>
          </w:tcPr>
          <w:p w14:paraId="1078C4EE" w14:textId="10FB5D8E" w:rsidR="00C41E5B" w:rsidRDefault="00BE6DD9" w:rsidP="00281D1B">
            <w:pPr>
              <w:widowControl/>
              <w:jc w:val="right"/>
              <w:rPr>
                <w:b/>
                <w:spacing w:val="-2"/>
                <w:sz w:val="20"/>
              </w:rPr>
            </w:pPr>
            <w:r>
              <w:rPr>
                <w:b/>
                <w:spacing w:val="-2"/>
                <w:sz w:val="20"/>
              </w:rPr>
              <w:t>June 30</w:t>
            </w:r>
            <w:r w:rsidR="008B7870" w:rsidRPr="000206BE">
              <w:rPr>
                <w:b/>
                <w:spacing w:val="-2"/>
                <w:sz w:val="20"/>
              </w:rPr>
              <w:t>,</w:t>
            </w:r>
          </w:p>
          <w:p w14:paraId="2BE86603" w14:textId="4A6143F4" w:rsidR="008B7870" w:rsidRPr="000206BE" w:rsidRDefault="008B7870" w:rsidP="00281D1B">
            <w:pPr>
              <w:widowControl/>
              <w:jc w:val="right"/>
              <w:rPr>
                <w:b/>
                <w:spacing w:val="-2"/>
                <w:sz w:val="20"/>
              </w:rPr>
            </w:pPr>
            <w:r w:rsidRPr="000206BE">
              <w:rPr>
                <w:b/>
                <w:spacing w:val="-2"/>
                <w:sz w:val="20"/>
              </w:rPr>
              <w:t>20</w:t>
            </w:r>
            <w:r>
              <w:rPr>
                <w:b/>
                <w:spacing w:val="-2"/>
                <w:sz w:val="20"/>
              </w:rPr>
              <w:t>20</w:t>
            </w:r>
          </w:p>
        </w:tc>
        <w:tc>
          <w:tcPr>
            <w:tcW w:w="306" w:type="dxa"/>
            <w:tcBorders>
              <w:top w:val="double" w:sz="4" w:space="0" w:color="auto"/>
              <w:left w:val="nil"/>
              <w:right w:val="nil"/>
            </w:tcBorders>
            <w:shd w:val="clear" w:color="000000" w:fill="FFFFFF"/>
            <w:noWrap/>
            <w:vAlign w:val="bottom"/>
          </w:tcPr>
          <w:p w14:paraId="0D9E3CF6" w14:textId="77777777" w:rsidR="008B7870" w:rsidRPr="000206BE" w:rsidRDefault="008B7870" w:rsidP="00281D1B">
            <w:pPr>
              <w:widowControl/>
              <w:rPr>
                <w:sz w:val="20"/>
                <w:lang w:val="en-CA" w:eastAsia="en-CA"/>
              </w:rPr>
            </w:pPr>
          </w:p>
        </w:tc>
        <w:tc>
          <w:tcPr>
            <w:tcW w:w="1553" w:type="dxa"/>
            <w:tcBorders>
              <w:top w:val="double" w:sz="4" w:space="0" w:color="auto"/>
              <w:left w:val="nil"/>
              <w:right w:val="nil"/>
            </w:tcBorders>
            <w:shd w:val="clear" w:color="000000" w:fill="FFFFFF"/>
            <w:vAlign w:val="bottom"/>
          </w:tcPr>
          <w:p w14:paraId="6B76B45D" w14:textId="07D088A1" w:rsidR="00C41E5B" w:rsidRDefault="00A55AD7" w:rsidP="00281D1B">
            <w:pPr>
              <w:widowControl/>
              <w:jc w:val="right"/>
              <w:rPr>
                <w:bCs/>
                <w:spacing w:val="-2"/>
                <w:sz w:val="20"/>
              </w:rPr>
            </w:pPr>
            <w:r>
              <w:rPr>
                <w:bCs/>
                <w:spacing w:val="-2"/>
                <w:sz w:val="20"/>
              </w:rPr>
              <w:t>June 30</w:t>
            </w:r>
            <w:r w:rsidR="008B7870" w:rsidRPr="003F6C39">
              <w:rPr>
                <w:bCs/>
                <w:spacing w:val="-2"/>
                <w:sz w:val="20"/>
              </w:rPr>
              <w:t>,</w:t>
            </w:r>
          </w:p>
          <w:p w14:paraId="0A9561DE" w14:textId="68003824" w:rsidR="008B7870" w:rsidRPr="003F6C39" w:rsidRDefault="008B7870" w:rsidP="00281D1B">
            <w:pPr>
              <w:widowControl/>
              <w:jc w:val="right"/>
              <w:rPr>
                <w:bCs/>
                <w:sz w:val="20"/>
                <w:lang w:val="en-CA" w:eastAsia="en-CA"/>
              </w:rPr>
            </w:pPr>
            <w:r w:rsidRPr="003F6C39">
              <w:rPr>
                <w:bCs/>
                <w:spacing w:val="-2"/>
                <w:sz w:val="20"/>
              </w:rPr>
              <w:t xml:space="preserve"> 2019</w:t>
            </w:r>
          </w:p>
        </w:tc>
      </w:tr>
      <w:tr w:rsidR="008B7870" w:rsidRPr="003F6C39" w14:paraId="78F1B4F8" w14:textId="77777777" w:rsidTr="00281D1B">
        <w:trPr>
          <w:trHeight w:val="216"/>
        </w:trPr>
        <w:tc>
          <w:tcPr>
            <w:tcW w:w="5130" w:type="dxa"/>
            <w:tcBorders>
              <w:left w:val="nil"/>
              <w:bottom w:val="single" w:sz="4" w:space="0" w:color="auto"/>
              <w:right w:val="nil"/>
            </w:tcBorders>
            <w:shd w:val="clear" w:color="000000" w:fill="FFFFFF"/>
            <w:noWrap/>
            <w:vAlign w:val="bottom"/>
          </w:tcPr>
          <w:p w14:paraId="443BA124" w14:textId="62965BEF" w:rsidR="008B7870" w:rsidRPr="00E419EE" w:rsidRDefault="00C41E5B" w:rsidP="00C41E5B">
            <w:pPr>
              <w:widowControl/>
              <w:ind w:firstLine="176"/>
              <w:rPr>
                <w:b/>
                <w:bCs/>
                <w:i/>
                <w:sz w:val="20"/>
                <w:lang w:val="en-CA" w:eastAsia="en-CA"/>
              </w:rPr>
            </w:pPr>
            <w:r w:rsidRPr="00E419EE">
              <w:rPr>
                <w:i/>
                <w:sz w:val="20"/>
              </w:rPr>
              <w:t xml:space="preserve">For </w:t>
            </w:r>
            <w:r w:rsidRPr="00E419EE">
              <w:rPr>
                <w:i/>
                <w:sz w:val="20"/>
                <w:lang w:val="en-CA" w:eastAsia="en-CA"/>
              </w:rPr>
              <w:t>the</w:t>
            </w:r>
            <w:r w:rsidRPr="00E419EE">
              <w:rPr>
                <w:i/>
                <w:sz w:val="20"/>
              </w:rPr>
              <w:t xml:space="preserve"> year ended</w:t>
            </w:r>
          </w:p>
        </w:tc>
        <w:tc>
          <w:tcPr>
            <w:tcW w:w="270" w:type="dxa"/>
            <w:tcBorders>
              <w:left w:val="nil"/>
              <w:bottom w:val="single" w:sz="4" w:space="0" w:color="auto"/>
              <w:right w:val="nil"/>
            </w:tcBorders>
            <w:shd w:val="clear" w:color="000000" w:fill="FFFFFF"/>
          </w:tcPr>
          <w:p w14:paraId="3EA1C968" w14:textId="77777777" w:rsidR="008B7870" w:rsidRPr="000206BE" w:rsidRDefault="008B7870" w:rsidP="00281D1B">
            <w:pPr>
              <w:tabs>
                <w:tab w:val="decimal" w:pos="1358"/>
              </w:tabs>
              <w:rPr>
                <w:b/>
                <w:spacing w:val="-2"/>
                <w:sz w:val="20"/>
              </w:rPr>
            </w:pPr>
          </w:p>
        </w:tc>
        <w:tc>
          <w:tcPr>
            <w:tcW w:w="1651" w:type="dxa"/>
            <w:tcBorders>
              <w:left w:val="nil"/>
              <w:bottom w:val="single" w:sz="4" w:space="0" w:color="auto"/>
              <w:right w:val="nil"/>
            </w:tcBorders>
            <w:shd w:val="clear" w:color="000000" w:fill="FFFFFF"/>
            <w:noWrap/>
            <w:vAlign w:val="bottom"/>
          </w:tcPr>
          <w:p w14:paraId="5FB860C3" w14:textId="77777777" w:rsidR="008B7870" w:rsidRPr="000206BE" w:rsidRDefault="008B7870" w:rsidP="00281D1B">
            <w:pPr>
              <w:tabs>
                <w:tab w:val="decimal" w:pos="1062"/>
              </w:tabs>
              <w:jc w:val="right"/>
              <w:rPr>
                <w:b/>
                <w:spacing w:val="-2"/>
                <w:sz w:val="20"/>
              </w:rPr>
            </w:pPr>
            <w:r w:rsidRPr="000206BE">
              <w:rPr>
                <w:b/>
                <w:spacing w:val="-2"/>
                <w:sz w:val="20"/>
              </w:rPr>
              <w:t>$  </w:t>
            </w:r>
          </w:p>
        </w:tc>
        <w:tc>
          <w:tcPr>
            <w:tcW w:w="306" w:type="dxa"/>
            <w:tcBorders>
              <w:left w:val="nil"/>
              <w:bottom w:val="single" w:sz="4" w:space="0" w:color="auto"/>
              <w:right w:val="nil"/>
            </w:tcBorders>
            <w:shd w:val="clear" w:color="000000" w:fill="FFFFFF"/>
            <w:noWrap/>
            <w:vAlign w:val="bottom"/>
          </w:tcPr>
          <w:p w14:paraId="3F650BB5" w14:textId="77777777" w:rsidR="008B7870" w:rsidRPr="000206BE" w:rsidRDefault="008B7870" w:rsidP="00281D1B">
            <w:pPr>
              <w:widowControl/>
              <w:jc w:val="right"/>
              <w:rPr>
                <w:b/>
                <w:bCs/>
                <w:sz w:val="20"/>
                <w:lang w:val="en-CA" w:eastAsia="en-CA"/>
              </w:rPr>
            </w:pPr>
          </w:p>
        </w:tc>
        <w:tc>
          <w:tcPr>
            <w:tcW w:w="1553" w:type="dxa"/>
            <w:tcBorders>
              <w:left w:val="nil"/>
              <w:bottom w:val="single" w:sz="4" w:space="0" w:color="auto"/>
              <w:right w:val="nil"/>
            </w:tcBorders>
            <w:shd w:val="clear" w:color="000000" w:fill="FFFFFF"/>
            <w:noWrap/>
            <w:vAlign w:val="bottom"/>
          </w:tcPr>
          <w:p w14:paraId="227EE3B1" w14:textId="77777777" w:rsidR="008B7870" w:rsidRPr="003F6C39" w:rsidRDefault="008B7870" w:rsidP="00281D1B">
            <w:pPr>
              <w:widowControl/>
              <w:jc w:val="right"/>
              <w:rPr>
                <w:bCs/>
                <w:sz w:val="20"/>
                <w:lang w:val="en-CA" w:eastAsia="en-CA"/>
              </w:rPr>
            </w:pPr>
            <w:r w:rsidRPr="003F6C39">
              <w:rPr>
                <w:bCs/>
                <w:spacing w:val="-2"/>
                <w:sz w:val="20"/>
              </w:rPr>
              <w:t>$  </w:t>
            </w:r>
          </w:p>
        </w:tc>
      </w:tr>
      <w:tr w:rsidR="008B7870" w:rsidRPr="003F6C39" w14:paraId="438A0345" w14:textId="77777777" w:rsidTr="00281D1B">
        <w:trPr>
          <w:trHeight w:val="216"/>
        </w:trPr>
        <w:tc>
          <w:tcPr>
            <w:tcW w:w="5130" w:type="dxa"/>
            <w:tcBorders>
              <w:top w:val="nil"/>
              <w:left w:val="nil"/>
              <w:bottom w:val="nil"/>
              <w:right w:val="nil"/>
            </w:tcBorders>
            <w:shd w:val="clear" w:color="000000" w:fill="FFFFFF"/>
            <w:noWrap/>
            <w:vAlign w:val="bottom"/>
          </w:tcPr>
          <w:p w14:paraId="6BB88CB8" w14:textId="77777777" w:rsidR="008B7870" w:rsidRPr="000206BE" w:rsidRDefault="008B7870" w:rsidP="00281D1B">
            <w:pPr>
              <w:widowControl/>
              <w:ind w:firstLine="176"/>
              <w:rPr>
                <w:sz w:val="20"/>
              </w:rPr>
            </w:pPr>
            <w:r w:rsidRPr="000206BE">
              <w:rPr>
                <w:sz w:val="20"/>
              </w:rPr>
              <w:t>Office expenses</w:t>
            </w:r>
          </w:p>
        </w:tc>
        <w:tc>
          <w:tcPr>
            <w:tcW w:w="270" w:type="dxa"/>
            <w:tcBorders>
              <w:top w:val="nil"/>
              <w:left w:val="nil"/>
              <w:bottom w:val="nil"/>
              <w:right w:val="nil"/>
            </w:tcBorders>
            <w:shd w:val="clear" w:color="000000" w:fill="FFFFFF"/>
          </w:tcPr>
          <w:p w14:paraId="21FB6E26" w14:textId="77777777" w:rsidR="008B7870" w:rsidRPr="000206BE" w:rsidRDefault="008B7870" w:rsidP="00281D1B">
            <w:pPr>
              <w:tabs>
                <w:tab w:val="decimal" w:pos="1358"/>
              </w:tabs>
              <w:rPr>
                <w:b/>
                <w:spacing w:val="-2"/>
                <w:sz w:val="20"/>
              </w:rPr>
            </w:pPr>
          </w:p>
        </w:tc>
        <w:tc>
          <w:tcPr>
            <w:tcW w:w="1651" w:type="dxa"/>
            <w:tcBorders>
              <w:top w:val="nil"/>
              <w:left w:val="nil"/>
              <w:bottom w:val="nil"/>
              <w:right w:val="nil"/>
            </w:tcBorders>
            <w:shd w:val="clear" w:color="auto" w:fill="auto"/>
            <w:noWrap/>
            <w:vAlign w:val="bottom"/>
          </w:tcPr>
          <w:p w14:paraId="45BD72A8" w14:textId="4F40F6E8" w:rsidR="008B7870" w:rsidRPr="006A68BD" w:rsidRDefault="00CD300C" w:rsidP="00281D1B">
            <w:pPr>
              <w:tabs>
                <w:tab w:val="decimal" w:pos="1062"/>
              </w:tabs>
              <w:jc w:val="right"/>
              <w:rPr>
                <w:bCs/>
                <w:spacing w:val="-2"/>
                <w:sz w:val="20"/>
              </w:rPr>
            </w:pPr>
            <w:r>
              <w:rPr>
                <w:bCs/>
                <w:spacing w:val="-2"/>
                <w:sz w:val="20"/>
              </w:rPr>
              <w:t>550</w:t>
            </w:r>
          </w:p>
        </w:tc>
        <w:tc>
          <w:tcPr>
            <w:tcW w:w="306" w:type="dxa"/>
            <w:tcBorders>
              <w:top w:val="nil"/>
              <w:left w:val="nil"/>
              <w:bottom w:val="nil"/>
              <w:right w:val="nil"/>
            </w:tcBorders>
            <w:shd w:val="clear" w:color="000000" w:fill="FFFFFF"/>
            <w:noWrap/>
            <w:vAlign w:val="bottom"/>
          </w:tcPr>
          <w:p w14:paraId="0FE4827B" w14:textId="77777777" w:rsidR="008B7870" w:rsidRPr="000206BE" w:rsidRDefault="008B7870" w:rsidP="00281D1B">
            <w:pPr>
              <w:jc w:val="right"/>
              <w:rPr>
                <w:sz w:val="20"/>
              </w:rPr>
            </w:pPr>
          </w:p>
        </w:tc>
        <w:tc>
          <w:tcPr>
            <w:tcW w:w="1553" w:type="dxa"/>
            <w:tcBorders>
              <w:top w:val="nil"/>
              <w:left w:val="nil"/>
              <w:bottom w:val="nil"/>
              <w:right w:val="nil"/>
            </w:tcBorders>
            <w:shd w:val="clear" w:color="000000" w:fill="FFFFFF"/>
            <w:noWrap/>
            <w:vAlign w:val="bottom"/>
          </w:tcPr>
          <w:p w14:paraId="4C6E6E4B" w14:textId="3A1B134B" w:rsidR="008B7870" w:rsidRPr="003F6C39" w:rsidRDefault="00A55AD7" w:rsidP="00281D1B">
            <w:pPr>
              <w:tabs>
                <w:tab w:val="decimal" w:pos="1062"/>
              </w:tabs>
              <w:jc w:val="right"/>
              <w:rPr>
                <w:bCs/>
                <w:spacing w:val="-2"/>
                <w:sz w:val="20"/>
              </w:rPr>
            </w:pPr>
            <w:r>
              <w:rPr>
                <w:bCs/>
                <w:spacing w:val="-2"/>
                <w:sz w:val="20"/>
              </w:rPr>
              <w:t>3,900</w:t>
            </w:r>
          </w:p>
        </w:tc>
      </w:tr>
      <w:tr w:rsidR="008B7870" w:rsidRPr="003F6C39" w14:paraId="47BFDB29" w14:textId="77777777" w:rsidTr="00281D1B">
        <w:trPr>
          <w:trHeight w:val="216"/>
        </w:trPr>
        <w:tc>
          <w:tcPr>
            <w:tcW w:w="5130" w:type="dxa"/>
            <w:tcBorders>
              <w:top w:val="nil"/>
              <w:left w:val="nil"/>
              <w:right w:val="nil"/>
            </w:tcBorders>
            <w:shd w:val="clear" w:color="000000" w:fill="FFFFFF"/>
            <w:noWrap/>
            <w:vAlign w:val="bottom"/>
          </w:tcPr>
          <w:p w14:paraId="20AC479C" w14:textId="77777777" w:rsidR="008B7870" w:rsidRPr="000206BE" w:rsidRDefault="008B7870" w:rsidP="00281D1B">
            <w:pPr>
              <w:widowControl/>
              <w:ind w:firstLine="176"/>
              <w:rPr>
                <w:sz w:val="20"/>
              </w:rPr>
            </w:pPr>
            <w:r w:rsidRPr="000206BE">
              <w:rPr>
                <w:sz w:val="20"/>
              </w:rPr>
              <w:t>Travel</w:t>
            </w:r>
          </w:p>
        </w:tc>
        <w:tc>
          <w:tcPr>
            <w:tcW w:w="270" w:type="dxa"/>
            <w:tcBorders>
              <w:top w:val="nil"/>
              <w:left w:val="nil"/>
              <w:right w:val="nil"/>
            </w:tcBorders>
            <w:shd w:val="clear" w:color="000000" w:fill="FFFFFF"/>
          </w:tcPr>
          <w:p w14:paraId="0C43E179" w14:textId="77777777" w:rsidR="008B7870" w:rsidRPr="000206BE" w:rsidRDefault="008B7870" w:rsidP="00281D1B">
            <w:pPr>
              <w:tabs>
                <w:tab w:val="decimal" w:pos="1358"/>
              </w:tabs>
              <w:rPr>
                <w:b/>
                <w:spacing w:val="-2"/>
                <w:sz w:val="20"/>
              </w:rPr>
            </w:pPr>
          </w:p>
        </w:tc>
        <w:tc>
          <w:tcPr>
            <w:tcW w:w="1651" w:type="dxa"/>
            <w:tcBorders>
              <w:top w:val="nil"/>
              <w:left w:val="nil"/>
              <w:right w:val="nil"/>
            </w:tcBorders>
            <w:shd w:val="clear" w:color="auto" w:fill="auto"/>
            <w:noWrap/>
            <w:vAlign w:val="bottom"/>
          </w:tcPr>
          <w:p w14:paraId="232DA278" w14:textId="62941E34" w:rsidR="008B7870" w:rsidRPr="006A68BD" w:rsidRDefault="00CD300C" w:rsidP="00281D1B">
            <w:pPr>
              <w:tabs>
                <w:tab w:val="decimal" w:pos="1062"/>
              </w:tabs>
              <w:jc w:val="right"/>
              <w:rPr>
                <w:bCs/>
                <w:spacing w:val="-2"/>
                <w:sz w:val="20"/>
              </w:rPr>
            </w:pPr>
            <w:r>
              <w:rPr>
                <w:bCs/>
                <w:spacing w:val="-2"/>
                <w:sz w:val="20"/>
              </w:rPr>
              <w:t>-</w:t>
            </w:r>
          </w:p>
        </w:tc>
        <w:tc>
          <w:tcPr>
            <w:tcW w:w="306" w:type="dxa"/>
            <w:tcBorders>
              <w:top w:val="nil"/>
              <w:left w:val="nil"/>
              <w:right w:val="nil"/>
            </w:tcBorders>
            <w:shd w:val="clear" w:color="000000" w:fill="FFFFFF"/>
            <w:noWrap/>
            <w:vAlign w:val="bottom"/>
          </w:tcPr>
          <w:p w14:paraId="28BEA252" w14:textId="77777777" w:rsidR="008B7870" w:rsidRPr="000206BE" w:rsidRDefault="008B7870" w:rsidP="00281D1B">
            <w:pPr>
              <w:jc w:val="right"/>
              <w:rPr>
                <w:sz w:val="20"/>
              </w:rPr>
            </w:pPr>
          </w:p>
        </w:tc>
        <w:tc>
          <w:tcPr>
            <w:tcW w:w="1553" w:type="dxa"/>
            <w:tcBorders>
              <w:top w:val="nil"/>
              <w:left w:val="nil"/>
              <w:right w:val="nil"/>
            </w:tcBorders>
            <w:shd w:val="clear" w:color="000000" w:fill="FFFFFF"/>
            <w:noWrap/>
            <w:vAlign w:val="bottom"/>
          </w:tcPr>
          <w:p w14:paraId="3465FDA1" w14:textId="3D08F55F" w:rsidR="008B7870" w:rsidRPr="003F6C39" w:rsidRDefault="00A55AD7" w:rsidP="00281D1B">
            <w:pPr>
              <w:tabs>
                <w:tab w:val="decimal" w:pos="1062"/>
              </w:tabs>
              <w:jc w:val="right"/>
              <w:rPr>
                <w:bCs/>
                <w:spacing w:val="-2"/>
                <w:sz w:val="20"/>
              </w:rPr>
            </w:pPr>
            <w:r>
              <w:rPr>
                <w:bCs/>
                <w:spacing w:val="-2"/>
                <w:sz w:val="20"/>
              </w:rPr>
              <w:t>2,175</w:t>
            </w:r>
          </w:p>
        </w:tc>
      </w:tr>
      <w:tr w:rsidR="008B7870" w:rsidRPr="003F6C39" w14:paraId="3912AA9D" w14:textId="77777777" w:rsidTr="00281D1B">
        <w:trPr>
          <w:trHeight w:val="216"/>
        </w:trPr>
        <w:tc>
          <w:tcPr>
            <w:tcW w:w="5130" w:type="dxa"/>
            <w:tcBorders>
              <w:top w:val="nil"/>
              <w:left w:val="nil"/>
              <w:right w:val="nil"/>
            </w:tcBorders>
            <w:shd w:val="clear" w:color="000000" w:fill="FFFFFF"/>
            <w:noWrap/>
            <w:vAlign w:val="bottom"/>
          </w:tcPr>
          <w:p w14:paraId="26478D49" w14:textId="77777777" w:rsidR="008B7870" w:rsidRPr="000206BE" w:rsidRDefault="008B7870" w:rsidP="00281D1B">
            <w:pPr>
              <w:widowControl/>
              <w:ind w:firstLine="176"/>
              <w:rPr>
                <w:sz w:val="20"/>
              </w:rPr>
            </w:pPr>
            <w:r w:rsidRPr="000206BE">
              <w:rPr>
                <w:sz w:val="20"/>
              </w:rPr>
              <w:t>Insurance</w:t>
            </w:r>
          </w:p>
        </w:tc>
        <w:tc>
          <w:tcPr>
            <w:tcW w:w="270" w:type="dxa"/>
            <w:tcBorders>
              <w:top w:val="nil"/>
              <w:left w:val="nil"/>
              <w:right w:val="nil"/>
            </w:tcBorders>
            <w:shd w:val="clear" w:color="000000" w:fill="FFFFFF"/>
          </w:tcPr>
          <w:p w14:paraId="2203F7BF" w14:textId="77777777" w:rsidR="008B7870" w:rsidRPr="000206BE" w:rsidRDefault="008B7870" w:rsidP="00281D1B">
            <w:pPr>
              <w:tabs>
                <w:tab w:val="decimal" w:pos="1358"/>
              </w:tabs>
              <w:rPr>
                <w:b/>
                <w:spacing w:val="-2"/>
                <w:sz w:val="20"/>
              </w:rPr>
            </w:pPr>
          </w:p>
        </w:tc>
        <w:tc>
          <w:tcPr>
            <w:tcW w:w="1651" w:type="dxa"/>
            <w:tcBorders>
              <w:top w:val="nil"/>
              <w:left w:val="nil"/>
              <w:right w:val="nil"/>
            </w:tcBorders>
            <w:shd w:val="clear" w:color="auto" w:fill="auto"/>
            <w:noWrap/>
            <w:vAlign w:val="bottom"/>
          </w:tcPr>
          <w:p w14:paraId="0D442625" w14:textId="59C0A96B" w:rsidR="008B7870" w:rsidRPr="006A68BD" w:rsidRDefault="00CD300C" w:rsidP="00281D1B">
            <w:pPr>
              <w:tabs>
                <w:tab w:val="decimal" w:pos="1062"/>
              </w:tabs>
              <w:jc w:val="right"/>
              <w:rPr>
                <w:bCs/>
                <w:spacing w:val="-2"/>
                <w:sz w:val="20"/>
              </w:rPr>
            </w:pPr>
            <w:r>
              <w:rPr>
                <w:bCs/>
                <w:spacing w:val="-2"/>
                <w:sz w:val="20"/>
              </w:rPr>
              <w:t>2,375</w:t>
            </w:r>
          </w:p>
        </w:tc>
        <w:tc>
          <w:tcPr>
            <w:tcW w:w="306" w:type="dxa"/>
            <w:tcBorders>
              <w:top w:val="nil"/>
              <w:left w:val="nil"/>
              <w:right w:val="nil"/>
            </w:tcBorders>
            <w:shd w:val="clear" w:color="000000" w:fill="FFFFFF"/>
            <w:noWrap/>
            <w:vAlign w:val="bottom"/>
          </w:tcPr>
          <w:p w14:paraId="0A77FF0F" w14:textId="77777777" w:rsidR="008B7870" w:rsidRPr="000206BE" w:rsidRDefault="008B7870" w:rsidP="00281D1B">
            <w:pPr>
              <w:jc w:val="right"/>
              <w:rPr>
                <w:sz w:val="20"/>
              </w:rPr>
            </w:pPr>
          </w:p>
        </w:tc>
        <w:tc>
          <w:tcPr>
            <w:tcW w:w="1553" w:type="dxa"/>
            <w:tcBorders>
              <w:top w:val="nil"/>
              <w:left w:val="nil"/>
              <w:right w:val="nil"/>
            </w:tcBorders>
            <w:shd w:val="clear" w:color="000000" w:fill="FFFFFF"/>
            <w:noWrap/>
            <w:vAlign w:val="bottom"/>
          </w:tcPr>
          <w:p w14:paraId="38809CF8" w14:textId="4180AC06" w:rsidR="008B7870" w:rsidRPr="003F6C39" w:rsidRDefault="00A55AD7" w:rsidP="00281D1B">
            <w:pPr>
              <w:tabs>
                <w:tab w:val="decimal" w:pos="1062"/>
              </w:tabs>
              <w:jc w:val="right"/>
              <w:rPr>
                <w:bCs/>
                <w:spacing w:val="-2"/>
                <w:sz w:val="20"/>
              </w:rPr>
            </w:pPr>
            <w:r>
              <w:rPr>
                <w:bCs/>
                <w:spacing w:val="-2"/>
                <w:sz w:val="20"/>
              </w:rPr>
              <w:t>2,375</w:t>
            </w:r>
          </w:p>
        </w:tc>
      </w:tr>
      <w:tr w:rsidR="008B7870" w:rsidRPr="003F6C39" w14:paraId="26021B9F" w14:textId="77777777" w:rsidTr="00281D1B">
        <w:trPr>
          <w:trHeight w:val="216"/>
        </w:trPr>
        <w:tc>
          <w:tcPr>
            <w:tcW w:w="5130" w:type="dxa"/>
            <w:tcBorders>
              <w:top w:val="nil"/>
              <w:left w:val="nil"/>
              <w:bottom w:val="single" w:sz="4" w:space="0" w:color="auto"/>
              <w:right w:val="nil"/>
            </w:tcBorders>
            <w:shd w:val="clear" w:color="000000" w:fill="FFFFFF"/>
            <w:noWrap/>
            <w:vAlign w:val="bottom"/>
          </w:tcPr>
          <w:p w14:paraId="1C281EAE" w14:textId="77777777" w:rsidR="008B7870" w:rsidRPr="000206BE" w:rsidRDefault="008B7870" w:rsidP="00281D1B">
            <w:pPr>
              <w:widowControl/>
              <w:ind w:firstLine="176"/>
              <w:rPr>
                <w:sz w:val="20"/>
              </w:rPr>
            </w:pPr>
            <w:r w:rsidRPr="000206BE">
              <w:rPr>
                <w:sz w:val="20"/>
              </w:rPr>
              <w:t xml:space="preserve">Other administrative expenses </w:t>
            </w:r>
          </w:p>
        </w:tc>
        <w:tc>
          <w:tcPr>
            <w:tcW w:w="270" w:type="dxa"/>
            <w:tcBorders>
              <w:top w:val="nil"/>
              <w:left w:val="nil"/>
              <w:bottom w:val="single" w:sz="4" w:space="0" w:color="auto"/>
              <w:right w:val="nil"/>
            </w:tcBorders>
            <w:shd w:val="clear" w:color="000000" w:fill="FFFFFF"/>
          </w:tcPr>
          <w:p w14:paraId="4A2DC44A" w14:textId="77777777" w:rsidR="008B7870" w:rsidRPr="000206BE" w:rsidRDefault="008B7870" w:rsidP="00281D1B">
            <w:pPr>
              <w:tabs>
                <w:tab w:val="decimal" w:pos="1358"/>
              </w:tabs>
              <w:rPr>
                <w:b/>
                <w:spacing w:val="-2"/>
                <w:sz w:val="20"/>
              </w:rPr>
            </w:pPr>
          </w:p>
        </w:tc>
        <w:tc>
          <w:tcPr>
            <w:tcW w:w="1651" w:type="dxa"/>
            <w:tcBorders>
              <w:top w:val="nil"/>
              <w:left w:val="nil"/>
              <w:bottom w:val="single" w:sz="4" w:space="0" w:color="auto"/>
              <w:right w:val="nil"/>
            </w:tcBorders>
            <w:shd w:val="clear" w:color="auto" w:fill="auto"/>
            <w:noWrap/>
            <w:vAlign w:val="bottom"/>
          </w:tcPr>
          <w:p w14:paraId="58D024DF" w14:textId="0E96919B" w:rsidR="008B7870" w:rsidRPr="006A68BD" w:rsidRDefault="00CD300C" w:rsidP="00281D1B">
            <w:pPr>
              <w:tabs>
                <w:tab w:val="decimal" w:pos="1062"/>
              </w:tabs>
              <w:jc w:val="right"/>
              <w:rPr>
                <w:bCs/>
                <w:spacing w:val="-2"/>
                <w:sz w:val="20"/>
              </w:rPr>
            </w:pPr>
            <w:r>
              <w:rPr>
                <w:bCs/>
                <w:spacing w:val="-2"/>
                <w:sz w:val="20"/>
              </w:rPr>
              <w:t>2,400</w:t>
            </w:r>
          </w:p>
        </w:tc>
        <w:tc>
          <w:tcPr>
            <w:tcW w:w="306" w:type="dxa"/>
            <w:tcBorders>
              <w:top w:val="nil"/>
              <w:left w:val="nil"/>
              <w:bottom w:val="single" w:sz="4" w:space="0" w:color="auto"/>
              <w:right w:val="nil"/>
            </w:tcBorders>
            <w:shd w:val="clear" w:color="000000" w:fill="FFFFFF"/>
            <w:noWrap/>
            <w:vAlign w:val="bottom"/>
          </w:tcPr>
          <w:p w14:paraId="44235E9F" w14:textId="77777777" w:rsidR="008B7870" w:rsidRPr="000206BE" w:rsidRDefault="008B7870" w:rsidP="00281D1B">
            <w:pPr>
              <w:jc w:val="right"/>
              <w:rPr>
                <w:sz w:val="20"/>
              </w:rPr>
            </w:pPr>
          </w:p>
        </w:tc>
        <w:tc>
          <w:tcPr>
            <w:tcW w:w="1553" w:type="dxa"/>
            <w:tcBorders>
              <w:top w:val="nil"/>
              <w:left w:val="nil"/>
              <w:bottom w:val="single" w:sz="4" w:space="0" w:color="auto"/>
              <w:right w:val="nil"/>
            </w:tcBorders>
            <w:shd w:val="clear" w:color="000000" w:fill="FFFFFF"/>
            <w:noWrap/>
            <w:vAlign w:val="bottom"/>
          </w:tcPr>
          <w:p w14:paraId="1BF1CAE9" w14:textId="66CEB2D5" w:rsidR="008B7870" w:rsidRPr="003F6C39" w:rsidRDefault="00A55AD7" w:rsidP="00281D1B">
            <w:pPr>
              <w:tabs>
                <w:tab w:val="decimal" w:pos="1062"/>
              </w:tabs>
              <w:jc w:val="right"/>
              <w:rPr>
                <w:bCs/>
                <w:spacing w:val="-2"/>
                <w:sz w:val="20"/>
              </w:rPr>
            </w:pPr>
            <w:r>
              <w:rPr>
                <w:bCs/>
                <w:spacing w:val="-2"/>
                <w:sz w:val="20"/>
              </w:rPr>
              <w:t>49,203</w:t>
            </w:r>
          </w:p>
        </w:tc>
      </w:tr>
      <w:tr w:rsidR="008B7870" w:rsidRPr="003F6C39" w14:paraId="2741FDCC" w14:textId="77777777" w:rsidTr="00281D1B">
        <w:trPr>
          <w:trHeight w:val="216"/>
        </w:trPr>
        <w:tc>
          <w:tcPr>
            <w:tcW w:w="5130" w:type="dxa"/>
            <w:tcBorders>
              <w:top w:val="single" w:sz="4" w:space="0" w:color="auto"/>
              <w:left w:val="nil"/>
              <w:bottom w:val="double" w:sz="4" w:space="0" w:color="auto"/>
              <w:right w:val="nil"/>
            </w:tcBorders>
            <w:shd w:val="clear" w:color="000000" w:fill="FFFFFF"/>
            <w:noWrap/>
            <w:vAlign w:val="bottom"/>
          </w:tcPr>
          <w:p w14:paraId="39EA6779" w14:textId="77777777" w:rsidR="008B7870" w:rsidRPr="000206BE" w:rsidRDefault="008B7870" w:rsidP="00281D1B">
            <w:pPr>
              <w:widowControl/>
              <w:rPr>
                <w:b/>
                <w:bCs/>
                <w:sz w:val="20"/>
                <w:lang w:val="en-CA" w:eastAsia="en-CA"/>
              </w:rPr>
            </w:pPr>
          </w:p>
        </w:tc>
        <w:tc>
          <w:tcPr>
            <w:tcW w:w="270" w:type="dxa"/>
            <w:tcBorders>
              <w:top w:val="single" w:sz="4" w:space="0" w:color="auto"/>
              <w:left w:val="nil"/>
              <w:bottom w:val="double" w:sz="4" w:space="0" w:color="auto"/>
              <w:right w:val="nil"/>
            </w:tcBorders>
            <w:shd w:val="clear" w:color="000000" w:fill="FFFFFF"/>
          </w:tcPr>
          <w:p w14:paraId="70905616" w14:textId="77777777" w:rsidR="008B7870" w:rsidRPr="000206BE" w:rsidRDefault="008B7870" w:rsidP="00281D1B">
            <w:pPr>
              <w:widowControl/>
              <w:tabs>
                <w:tab w:val="decimal" w:pos="1358"/>
              </w:tabs>
              <w:ind w:right="-71"/>
              <w:rPr>
                <w:b/>
                <w:spacing w:val="-2"/>
                <w:sz w:val="20"/>
              </w:rPr>
            </w:pPr>
          </w:p>
        </w:tc>
        <w:tc>
          <w:tcPr>
            <w:tcW w:w="1651" w:type="dxa"/>
            <w:tcBorders>
              <w:top w:val="single" w:sz="4" w:space="0" w:color="auto"/>
              <w:left w:val="nil"/>
              <w:bottom w:val="double" w:sz="4" w:space="0" w:color="auto"/>
              <w:right w:val="nil"/>
            </w:tcBorders>
            <w:shd w:val="clear" w:color="auto" w:fill="auto"/>
            <w:noWrap/>
            <w:vAlign w:val="bottom"/>
          </w:tcPr>
          <w:p w14:paraId="6C436E9E" w14:textId="4FDBE6F0" w:rsidR="008B7870" w:rsidRPr="006A68BD" w:rsidRDefault="00C745B3" w:rsidP="00281D1B">
            <w:pPr>
              <w:tabs>
                <w:tab w:val="decimal" w:pos="1062"/>
              </w:tabs>
              <w:jc w:val="right"/>
              <w:rPr>
                <w:bCs/>
                <w:spacing w:val="-2"/>
                <w:sz w:val="20"/>
              </w:rPr>
            </w:pPr>
            <w:r>
              <w:rPr>
                <w:bCs/>
                <w:spacing w:val="-2"/>
                <w:sz w:val="20"/>
              </w:rPr>
              <w:t>5,325</w:t>
            </w:r>
          </w:p>
        </w:tc>
        <w:tc>
          <w:tcPr>
            <w:tcW w:w="306" w:type="dxa"/>
            <w:tcBorders>
              <w:top w:val="single" w:sz="4" w:space="0" w:color="auto"/>
              <w:left w:val="nil"/>
              <w:bottom w:val="double" w:sz="4" w:space="0" w:color="auto"/>
              <w:right w:val="nil"/>
            </w:tcBorders>
            <w:shd w:val="clear" w:color="000000" w:fill="FFFFFF"/>
            <w:noWrap/>
            <w:vAlign w:val="bottom"/>
          </w:tcPr>
          <w:p w14:paraId="71F7A180" w14:textId="77777777" w:rsidR="008B7870" w:rsidRPr="000206BE" w:rsidRDefault="008B7870" w:rsidP="00281D1B">
            <w:pPr>
              <w:widowControl/>
              <w:jc w:val="right"/>
              <w:rPr>
                <w:sz w:val="20"/>
                <w:lang w:val="en-CA" w:eastAsia="en-CA"/>
              </w:rPr>
            </w:pPr>
          </w:p>
        </w:tc>
        <w:tc>
          <w:tcPr>
            <w:tcW w:w="1553" w:type="dxa"/>
            <w:tcBorders>
              <w:top w:val="single" w:sz="4" w:space="0" w:color="auto"/>
              <w:left w:val="nil"/>
              <w:bottom w:val="double" w:sz="4" w:space="0" w:color="auto"/>
              <w:right w:val="nil"/>
            </w:tcBorders>
            <w:shd w:val="clear" w:color="000000" w:fill="FFFFFF"/>
            <w:noWrap/>
            <w:vAlign w:val="bottom"/>
          </w:tcPr>
          <w:p w14:paraId="43FBA050" w14:textId="2E918345" w:rsidR="008B7870" w:rsidRPr="003F6C39" w:rsidRDefault="00A55AD7" w:rsidP="00281D1B">
            <w:pPr>
              <w:widowControl/>
              <w:tabs>
                <w:tab w:val="decimal" w:pos="1062"/>
              </w:tabs>
              <w:jc w:val="right"/>
              <w:rPr>
                <w:bCs/>
                <w:spacing w:val="-2"/>
                <w:sz w:val="20"/>
              </w:rPr>
            </w:pPr>
            <w:r>
              <w:rPr>
                <w:bCs/>
                <w:spacing w:val="-2"/>
                <w:sz w:val="20"/>
              </w:rPr>
              <w:t>57,653</w:t>
            </w:r>
          </w:p>
        </w:tc>
      </w:tr>
    </w:tbl>
    <w:p w14:paraId="201D8822" w14:textId="77777777" w:rsidR="00A10BEB" w:rsidRDefault="00A10BEB">
      <w:pPr>
        <w:widowControl/>
        <w:rPr>
          <w:b/>
          <w:spacing w:val="-2"/>
          <w:sz w:val="20"/>
        </w:rPr>
      </w:pPr>
      <w:r>
        <w:rPr>
          <w:b/>
          <w:spacing w:val="-2"/>
          <w:sz w:val="20"/>
        </w:rPr>
        <w:br w:type="page"/>
      </w:r>
    </w:p>
    <w:bookmarkEnd w:id="11"/>
    <w:bookmarkEnd w:id="12"/>
    <w:p w14:paraId="58F48E08" w14:textId="0E5647B0" w:rsidR="004F36BF" w:rsidRPr="00F817A1" w:rsidRDefault="00F817A1" w:rsidP="00F817A1">
      <w:pPr>
        <w:autoSpaceDE w:val="0"/>
        <w:autoSpaceDN w:val="0"/>
        <w:adjustRightInd w:val="0"/>
        <w:spacing w:before="120"/>
        <w:ind w:left="425" w:hanging="425"/>
        <w:jc w:val="both"/>
        <w:rPr>
          <w:b/>
          <w:spacing w:val="-2"/>
          <w:sz w:val="20"/>
        </w:rPr>
      </w:pPr>
      <w:r w:rsidRPr="00F817A1">
        <w:rPr>
          <w:b/>
          <w:spacing w:val="-2"/>
          <w:sz w:val="20"/>
        </w:rPr>
        <w:lastRenderedPageBreak/>
        <w:t>9.</w:t>
      </w:r>
      <w:r w:rsidRPr="00F817A1">
        <w:rPr>
          <w:b/>
          <w:spacing w:val="-2"/>
          <w:sz w:val="20"/>
        </w:rPr>
        <w:tab/>
      </w:r>
      <w:r w:rsidR="004F36BF" w:rsidRPr="00F817A1">
        <w:rPr>
          <w:b/>
          <w:spacing w:val="-2"/>
          <w:sz w:val="20"/>
        </w:rPr>
        <w:t>Financial instruments and risks</w:t>
      </w:r>
    </w:p>
    <w:p w14:paraId="38F9C00B" w14:textId="77777777" w:rsidR="004F36BF" w:rsidRPr="000206BE" w:rsidRDefault="004F36BF" w:rsidP="004F36BF">
      <w:pPr>
        <w:ind w:left="425"/>
        <w:jc w:val="both"/>
        <w:rPr>
          <w:b/>
          <w:sz w:val="20"/>
        </w:rPr>
      </w:pPr>
    </w:p>
    <w:p w14:paraId="6049387E" w14:textId="16327DE7" w:rsidR="004F36BF" w:rsidRPr="00F817A1" w:rsidRDefault="004F36BF" w:rsidP="00F817A1">
      <w:pPr>
        <w:autoSpaceDE w:val="0"/>
        <w:autoSpaceDN w:val="0"/>
        <w:adjustRightInd w:val="0"/>
        <w:spacing w:after="120"/>
        <w:ind w:left="432"/>
        <w:jc w:val="both"/>
        <w:rPr>
          <w:spacing w:val="-2"/>
          <w:sz w:val="20"/>
        </w:rPr>
      </w:pPr>
      <w:r w:rsidRPr="00F817A1">
        <w:rPr>
          <w:spacing w:val="-2"/>
          <w:sz w:val="20"/>
        </w:rPr>
        <w:t>The Company’s financial instruments consist of cash</w:t>
      </w:r>
      <w:r w:rsidR="00A0744D">
        <w:rPr>
          <w:spacing w:val="-2"/>
          <w:sz w:val="20"/>
        </w:rPr>
        <w:t xml:space="preserve"> and cash equivalent</w:t>
      </w:r>
      <w:r w:rsidR="00C41E5B">
        <w:rPr>
          <w:spacing w:val="-2"/>
          <w:sz w:val="20"/>
        </w:rPr>
        <w:t>, investments</w:t>
      </w:r>
      <w:r w:rsidRPr="00F817A1">
        <w:rPr>
          <w:spacing w:val="-2"/>
          <w:sz w:val="20"/>
        </w:rPr>
        <w:t xml:space="preserve"> </w:t>
      </w:r>
      <w:r w:rsidR="00F278AF" w:rsidRPr="00F817A1">
        <w:rPr>
          <w:spacing w:val="-2"/>
          <w:sz w:val="20"/>
        </w:rPr>
        <w:t>and</w:t>
      </w:r>
      <w:r w:rsidRPr="00F817A1">
        <w:rPr>
          <w:spacing w:val="-2"/>
          <w:sz w:val="20"/>
        </w:rPr>
        <w:t xml:space="preserve"> accounts payable. </w:t>
      </w:r>
    </w:p>
    <w:p w14:paraId="1B2E209D" w14:textId="77777777" w:rsidR="00B11C77" w:rsidRPr="00F817A1" w:rsidRDefault="00B11C77" w:rsidP="00F817A1">
      <w:pPr>
        <w:autoSpaceDE w:val="0"/>
        <w:autoSpaceDN w:val="0"/>
        <w:adjustRightInd w:val="0"/>
        <w:spacing w:after="120"/>
        <w:ind w:left="432"/>
        <w:jc w:val="both"/>
        <w:rPr>
          <w:spacing w:val="-2"/>
          <w:sz w:val="20"/>
        </w:rPr>
      </w:pPr>
      <w:r w:rsidRPr="00F817A1">
        <w:rPr>
          <w:spacing w:val="-2"/>
          <w:sz w:val="20"/>
        </w:rPr>
        <w:t>Financial instruments measured at fair value are classified</w:t>
      </w:r>
      <w:r w:rsidRPr="00B11C77">
        <w:rPr>
          <w:sz w:val="20"/>
        </w:rPr>
        <w:t xml:space="preserve"> into one of the three levels in the fair value hierarchy according to the relative reliability of the inputs used to estimate the fair values.  The three levels of hierarchy are</w:t>
      </w:r>
      <w:r w:rsidRPr="00F817A1">
        <w:rPr>
          <w:spacing w:val="-2"/>
          <w:sz w:val="20"/>
        </w:rPr>
        <w:t>:</w:t>
      </w:r>
    </w:p>
    <w:p w14:paraId="2100F41F" w14:textId="77777777" w:rsidR="00B11C77" w:rsidRPr="00F817A1" w:rsidRDefault="00B11C77" w:rsidP="00F817A1">
      <w:pPr>
        <w:autoSpaceDE w:val="0"/>
        <w:autoSpaceDN w:val="0"/>
        <w:adjustRightInd w:val="0"/>
        <w:ind w:left="432"/>
        <w:jc w:val="both"/>
        <w:rPr>
          <w:spacing w:val="-2"/>
          <w:sz w:val="20"/>
        </w:rPr>
      </w:pPr>
      <w:r w:rsidRPr="00F817A1">
        <w:rPr>
          <w:spacing w:val="-2"/>
          <w:sz w:val="20"/>
        </w:rPr>
        <w:t xml:space="preserve">Level 1: </w:t>
      </w:r>
      <w:r w:rsidRPr="00F817A1">
        <w:rPr>
          <w:spacing w:val="-2"/>
          <w:sz w:val="20"/>
        </w:rPr>
        <w:tab/>
        <w:t>Quoted prices in active markets for identical assets or liabilities.</w:t>
      </w:r>
    </w:p>
    <w:p w14:paraId="3CA2032F" w14:textId="77777777" w:rsidR="00B11C77" w:rsidRPr="00F817A1" w:rsidRDefault="00B11C77" w:rsidP="00C41E5B">
      <w:pPr>
        <w:autoSpaceDE w:val="0"/>
        <w:autoSpaceDN w:val="0"/>
        <w:adjustRightInd w:val="0"/>
        <w:ind w:left="1437" w:hanging="1005"/>
        <w:jc w:val="both"/>
        <w:rPr>
          <w:spacing w:val="-2"/>
          <w:sz w:val="20"/>
        </w:rPr>
      </w:pPr>
      <w:r w:rsidRPr="00F817A1">
        <w:rPr>
          <w:spacing w:val="-2"/>
          <w:sz w:val="20"/>
        </w:rPr>
        <w:t xml:space="preserve">Level 2: </w:t>
      </w:r>
      <w:r w:rsidRPr="00F817A1">
        <w:rPr>
          <w:spacing w:val="-2"/>
          <w:sz w:val="20"/>
        </w:rPr>
        <w:tab/>
        <w:t>Other techniques for which all inputs which have a significant effect on the recorded fair value are observable, either directly or indirectly.</w:t>
      </w:r>
    </w:p>
    <w:p w14:paraId="2E60E536" w14:textId="77777777" w:rsidR="00B11C77" w:rsidRPr="00F817A1" w:rsidRDefault="00B11C77" w:rsidP="00C41E5B">
      <w:pPr>
        <w:autoSpaceDE w:val="0"/>
        <w:autoSpaceDN w:val="0"/>
        <w:adjustRightInd w:val="0"/>
        <w:ind w:left="1437" w:hanging="1005"/>
        <w:jc w:val="both"/>
        <w:rPr>
          <w:spacing w:val="-2"/>
          <w:sz w:val="20"/>
        </w:rPr>
      </w:pPr>
      <w:r w:rsidRPr="00F817A1">
        <w:rPr>
          <w:spacing w:val="-2"/>
          <w:sz w:val="20"/>
        </w:rPr>
        <w:t xml:space="preserve">Level 3: </w:t>
      </w:r>
      <w:r w:rsidRPr="00F817A1">
        <w:rPr>
          <w:spacing w:val="-2"/>
          <w:sz w:val="20"/>
        </w:rPr>
        <w:tab/>
        <w:t>Techniques which use inputs that have a significant effect on the recorded fair value that are not based on observable market data.</w:t>
      </w:r>
    </w:p>
    <w:p w14:paraId="0BA0F4DA" w14:textId="77777777" w:rsidR="001805CE" w:rsidRDefault="006A68BD" w:rsidP="006A68BD">
      <w:pPr>
        <w:autoSpaceDE w:val="0"/>
        <w:autoSpaceDN w:val="0"/>
        <w:adjustRightInd w:val="0"/>
        <w:spacing w:before="120" w:after="120"/>
        <w:ind w:left="432"/>
        <w:jc w:val="both"/>
        <w:rPr>
          <w:spacing w:val="-2"/>
          <w:sz w:val="20"/>
        </w:rPr>
      </w:pPr>
      <w:r w:rsidRPr="006A68BD">
        <w:rPr>
          <w:spacing w:val="-2"/>
          <w:sz w:val="20"/>
        </w:rPr>
        <w:t>Financial instruments classified as level 1 – quoted prices in active markets include cash</w:t>
      </w:r>
      <w:r>
        <w:rPr>
          <w:spacing w:val="-2"/>
          <w:sz w:val="20"/>
        </w:rPr>
        <w:t xml:space="preserve"> and cash equivalent</w:t>
      </w:r>
      <w:r w:rsidR="00C41E5B">
        <w:rPr>
          <w:spacing w:val="-2"/>
          <w:sz w:val="20"/>
        </w:rPr>
        <w:t>s and investments</w:t>
      </w:r>
      <w:r w:rsidRPr="006A68BD">
        <w:rPr>
          <w:spacing w:val="-2"/>
          <w:sz w:val="20"/>
        </w:rPr>
        <w:t>.</w:t>
      </w:r>
      <w:r w:rsidR="00A0744D">
        <w:rPr>
          <w:spacing w:val="-2"/>
          <w:sz w:val="20"/>
        </w:rPr>
        <w:t xml:space="preserve"> </w:t>
      </w:r>
    </w:p>
    <w:p w14:paraId="37AEF6F1" w14:textId="2A14C004" w:rsidR="001805CE" w:rsidRDefault="007E6B8C" w:rsidP="006A68BD">
      <w:pPr>
        <w:autoSpaceDE w:val="0"/>
        <w:autoSpaceDN w:val="0"/>
        <w:adjustRightInd w:val="0"/>
        <w:spacing w:before="120" w:after="120"/>
        <w:ind w:left="432"/>
        <w:jc w:val="both"/>
        <w:rPr>
          <w:spacing w:val="-2"/>
          <w:sz w:val="20"/>
        </w:rPr>
      </w:pPr>
      <w:r w:rsidRPr="006A68BD">
        <w:rPr>
          <w:spacing w:val="-2"/>
          <w:sz w:val="20"/>
        </w:rPr>
        <w:t xml:space="preserve">Financial instruments classified as level </w:t>
      </w:r>
      <w:r>
        <w:rPr>
          <w:spacing w:val="-2"/>
          <w:sz w:val="20"/>
        </w:rPr>
        <w:t>3</w:t>
      </w:r>
      <w:r w:rsidRPr="006A68BD">
        <w:rPr>
          <w:spacing w:val="-2"/>
          <w:sz w:val="20"/>
        </w:rPr>
        <w:t xml:space="preserve"> – </w:t>
      </w:r>
      <w:r w:rsidRPr="00F817A1">
        <w:rPr>
          <w:spacing w:val="-2"/>
          <w:sz w:val="20"/>
        </w:rPr>
        <w:t>Techniques which use inputs that have a significant effect on the recorded fair value</w:t>
      </w:r>
      <w:r>
        <w:rPr>
          <w:spacing w:val="-2"/>
          <w:sz w:val="20"/>
        </w:rPr>
        <w:t xml:space="preserve">, </w:t>
      </w:r>
      <w:r w:rsidRPr="006A68BD">
        <w:rPr>
          <w:spacing w:val="-2"/>
          <w:sz w:val="20"/>
        </w:rPr>
        <w:t xml:space="preserve">include </w:t>
      </w:r>
      <w:r>
        <w:rPr>
          <w:spacing w:val="-2"/>
          <w:sz w:val="20"/>
        </w:rPr>
        <w:t xml:space="preserve">warrants to purchase shares in Osprey Gold Developments Ltd. Management has considered various valuation </w:t>
      </w:r>
      <w:r w:rsidR="001805CE">
        <w:rPr>
          <w:spacing w:val="-2"/>
          <w:sz w:val="20"/>
        </w:rPr>
        <w:t>techniques</w:t>
      </w:r>
      <w:r>
        <w:rPr>
          <w:spacing w:val="-2"/>
          <w:sz w:val="20"/>
        </w:rPr>
        <w:t xml:space="preserve"> for the warrants including the Black Scholes </w:t>
      </w:r>
      <w:r w:rsidR="001805CE">
        <w:rPr>
          <w:spacing w:val="-2"/>
          <w:sz w:val="20"/>
        </w:rPr>
        <w:t>O</w:t>
      </w:r>
      <w:r>
        <w:rPr>
          <w:spacing w:val="-2"/>
          <w:sz w:val="20"/>
        </w:rPr>
        <w:t>ption Pricing Model</w:t>
      </w:r>
      <w:r w:rsidR="001805CE">
        <w:rPr>
          <w:spacing w:val="-2"/>
          <w:sz w:val="20"/>
        </w:rPr>
        <w:t xml:space="preserve"> and the intrinsic approach.  Management has determined the fair value of the warrants to be $nil based on the intrinsic value approach, because the warrant exercise price is more than the current market price and accordingly the warrants are out of the money.</w:t>
      </w:r>
    </w:p>
    <w:p w14:paraId="1FDD1BD7" w14:textId="06B37CFA" w:rsidR="006A68BD" w:rsidRPr="00F817A1" w:rsidRDefault="00A0744D" w:rsidP="006A68BD">
      <w:pPr>
        <w:autoSpaceDE w:val="0"/>
        <w:autoSpaceDN w:val="0"/>
        <w:adjustRightInd w:val="0"/>
        <w:spacing w:before="120" w:after="120"/>
        <w:ind w:left="432"/>
        <w:jc w:val="both"/>
        <w:rPr>
          <w:spacing w:val="-2"/>
          <w:sz w:val="20"/>
        </w:rPr>
      </w:pPr>
      <w:r>
        <w:rPr>
          <w:spacing w:val="-2"/>
          <w:sz w:val="20"/>
        </w:rPr>
        <w:t xml:space="preserve">The fair value of the accounts payable approximates to </w:t>
      </w:r>
      <w:r w:rsidR="00C41E5B">
        <w:rPr>
          <w:spacing w:val="-2"/>
          <w:sz w:val="20"/>
        </w:rPr>
        <w:t>their</w:t>
      </w:r>
      <w:r>
        <w:rPr>
          <w:spacing w:val="-2"/>
          <w:sz w:val="20"/>
        </w:rPr>
        <w:t xml:space="preserve"> carrying value due to </w:t>
      </w:r>
      <w:r w:rsidR="00C41E5B">
        <w:rPr>
          <w:spacing w:val="-2"/>
          <w:sz w:val="20"/>
        </w:rPr>
        <w:t>their</w:t>
      </w:r>
      <w:r>
        <w:rPr>
          <w:spacing w:val="-2"/>
          <w:sz w:val="20"/>
        </w:rPr>
        <w:t xml:space="preserve"> short-term nature. </w:t>
      </w:r>
    </w:p>
    <w:p w14:paraId="5A34C4BA" w14:textId="77777777" w:rsidR="004F36BF" w:rsidRPr="00F817A1" w:rsidRDefault="004F36BF" w:rsidP="00F817A1">
      <w:pPr>
        <w:autoSpaceDE w:val="0"/>
        <w:autoSpaceDN w:val="0"/>
        <w:adjustRightInd w:val="0"/>
        <w:spacing w:before="120" w:after="120"/>
        <w:ind w:left="432"/>
        <w:jc w:val="both"/>
        <w:rPr>
          <w:spacing w:val="-2"/>
          <w:sz w:val="20"/>
        </w:rPr>
      </w:pPr>
      <w:r w:rsidRPr="00F817A1">
        <w:rPr>
          <w:spacing w:val="-2"/>
          <w:sz w:val="20"/>
        </w:rPr>
        <w:t>The Company’s risk exposures and the impact on the Company’s financial instruments are summarized below:</w:t>
      </w:r>
    </w:p>
    <w:p w14:paraId="09E2CB65" w14:textId="77777777" w:rsidR="008B7870" w:rsidRPr="00F817A1" w:rsidRDefault="008B7870" w:rsidP="008B7870">
      <w:pPr>
        <w:widowControl/>
        <w:tabs>
          <w:tab w:val="left" w:pos="900"/>
        </w:tabs>
        <w:suppressAutoHyphens/>
        <w:overflowPunct w:val="0"/>
        <w:autoSpaceDE w:val="0"/>
        <w:autoSpaceDN w:val="0"/>
        <w:adjustRightInd w:val="0"/>
        <w:spacing w:after="120"/>
        <w:ind w:left="450"/>
        <w:jc w:val="both"/>
        <w:textAlignment w:val="baseline"/>
        <w:rPr>
          <w:b/>
          <w:spacing w:val="-3"/>
          <w:sz w:val="20"/>
        </w:rPr>
      </w:pPr>
      <w:r w:rsidRPr="00F817A1">
        <w:rPr>
          <w:b/>
          <w:spacing w:val="-3"/>
          <w:sz w:val="20"/>
        </w:rPr>
        <w:t>Credit risk</w:t>
      </w:r>
    </w:p>
    <w:p w14:paraId="5CA194A4" w14:textId="77777777" w:rsidR="008B7870" w:rsidRPr="000206BE" w:rsidRDefault="008B7870" w:rsidP="008B7870">
      <w:pPr>
        <w:autoSpaceDE w:val="0"/>
        <w:autoSpaceDN w:val="0"/>
        <w:adjustRightInd w:val="0"/>
        <w:spacing w:after="120"/>
        <w:ind w:left="432"/>
        <w:jc w:val="both"/>
        <w:rPr>
          <w:sz w:val="20"/>
        </w:rPr>
      </w:pPr>
      <w:r w:rsidRPr="000206BE">
        <w:rPr>
          <w:sz w:val="20"/>
        </w:rPr>
        <w:t>Credit risk arises from the non-performance by counterparties of contractual financial obligations. The Company’s exposure to credit risk includes cash and other receivable</w:t>
      </w:r>
      <w:r>
        <w:rPr>
          <w:sz w:val="20"/>
        </w:rPr>
        <w:t>s</w:t>
      </w:r>
      <w:r w:rsidRPr="000206BE">
        <w:rPr>
          <w:sz w:val="20"/>
        </w:rPr>
        <w:t>. The Company reduces its credit risk by maintaining its bank accounts at large international financial institutions.  Other receivable represents GST/HST due from the Canadian government.  The maximum exposure to credit risk is equal to the fair value or carrying value of the financial assets. The Company has assessed credit risk as low.</w:t>
      </w:r>
    </w:p>
    <w:p w14:paraId="3DD04533" w14:textId="77777777" w:rsidR="008B7870" w:rsidRPr="00F817A1" w:rsidRDefault="008B7870" w:rsidP="008B7870">
      <w:pPr>
        <w:widowControl/>
        <w:tabs>
          <w:tab w:val="left" w:pos="900"/>
        </w:tabs>
        <w:suppressAutoHyphens/>
        <w:overflowPunct w:val="0"/>
        <w:autoSpaceDE w:val="0"/>
        <w:autoSpaceDN w:val="0"/>
        <w:adjustRightInd w:val="0"/>
        <w:spacing w:after="120"/>
        <w:ind w:left="450"/>
        <w:jc w:val="both"/>
        <w:textAlignment w:val="baseline"/>
        <w:rPr>
          <w:b/>
          <w:spacing w:val="-3"/>
          <w:sz w:val="20"/>
        </w:rPr>
      </w:pPr>
      <w:r w:rsidRPr="00F817A1">
        <w:rPr>
          <w:b/>
          <w:spacing w:val="-3"/>
          <w:sz w:val="20"/>
        </w:rPr>
        <w:t xml:space="preserve">Liquidity risk </w:t>
      </w:r>
    </w:p>
    <w:p w14:paraId="79FB8566" w14:textId="77777777" w:rsidR="008B7870" w:rsidRPr="00F817A1" w:rsidRDefault="008B7870" w:rsidP="008B7870">
      <w:pPr>
        <w:autoSpaceDE w:val="0"/>
        <w:autoSpaceDN w:val="0"/>
        <w:adjustRightInd w:val="0"/>
        <w:spacing w:after="120"/>
        <w:ind w:left="432"/>
        <w:jc w:val="both"/>
        <w:rPr>
          <w:sz w:val="20"/>
        </w:rPr>
      </w:pPr>
      <w:r w:rsidRPr="000206BE">
        <w:rPr>
          <w:sz w:val="20"/>
        </w:rPr>
        <w:t xml:space="preserve">Liquidity risk is the risk that the Company will not have sufficient liquidity to meet its financial obligations as they come due. </w:t>
      </w:r>
      <w:r w:rsidRPr="00F817A1">
        <w:rPr>
          <w:sz w:val="20"/>
        </w:rPr>
        <w:t>The Company has a planning and budgeting process in place to help determine the funds required to support the Company’s normal operating requirements on an ongoing basis. The Company cautions that there are no cash flows from operations.  The Company believes that its current cash holdings is adequate to meet its anticipated short-term obligations.</w:t>
      </w:r>
    </w:p>
    <w:p w14:paraId="41398C05" w14:textId="159C85DE" w:rsidR="008B7870" w:rsidRDefault="008B7870" w:rsidP="008B7870">
      <w:pPr>
        <w:autoSpaceDE w:val="0"/>
        <w:autoSpaceDN w:val="0"/>
        <w:adjustRightInd w:val="0"/>
        <w:spacing w:after="120"/>
        <w:ind w:left="432"/>
        <w:jc w:val="both"/>
        <w:rPr>
          <w:sz w:val="20"/>
        </w:rPr>
      </w:pPr>
      <w:r w:rsidRPr="00F817A1">
        <w:rPr>
          <w:sz w:val="20"/>
        </w:rPr>
        <w:t xml:space="preserve">Historically, the Company's sole source of funding has been the issuance of equity securities for cash, primarily through private placements. The Company’s access to financing is always uncertain. There can be no assurance of continued access to significant equity funding. </w:t>
      </w:r>
      <w:r w:rsidRPr="000206BE">
        <w:rPr>
          <w:sz w:val="20"/>
        </w:rPr>
        <w:t xml:space="preserve">As at </w:t>
      </w:r>
      <w:r w:rsidR="00A72FE8">
        <w:rPr>
          <w:sz w:val="20"/>
        </w:rPr>
        <w:t>June 30</w:t>
      </w:r>
      <w:r w:rsidRPr="000206BE">
        <w:rPr>
          <w:sz w:val="20"/>
        </w:rPr>
        <w:t>, 20</w:t>
      </w:r>
      <w:r>
        <w:rPr>
          <w:sz w:val="20"/>
        </w:rPr>
        <w:t>20</w:t>
      </w:r>
      <w:r w:rsidRPr="000206BE">
        <w:rPr>
          <w:sz w:val="20"/>
        </w:rPr>
        <w:t>, the Company had a cash balance of $</w:t>
      </w:r>
      <w:r w:rsidR="00A72FE8">
        <w:rPr>
          <w:sz w:val="20"/>
        </w:rPr>
        <w:t>727,506</w:t>
      </w:r>
      <w:r>
        <w:rPr>
          <w:sz w:val="20"/>
        </w:rPr>
        <w:t xml:space="preserve"> </w:t>
      </w:r>
      <w:r w:rsidRPr="000206BE">
        <w:rPr>
          <w:sz w:val="20"/>
        </w:rPr>
        <w:t>(March 31, 20</w:t>
      </w:r>
      <w:r w:rsidR="00A72FE8">
        <w:rPr>
          <w:sz w:val="20"/>
        </w:rPr>
        <w:t>20</w:t>
      </w:r>
      <w:r w:rsidRPr="000206BE">
        <w:rPr>
          <w:sz w:val="20"/>
        </w:rPr>
        <w:t xml:space="preserve"> - $</w:t>
      </w:r>
      <w:r w:rsidR="00A72FE8">
        <w:rPr>
          <w:sz w:val="20"/>
        </w:rPr>
        <w:t>1,023,104</w:t>
      </w:r>
      <w:r w:rsidRPr="000206BE">
        <w:rPr>
          <w:sz w:val="20"/>
        </w:rPr>
        <w:t>) to settle current liabilities of $</w:t>
      </w:r>
      <w:r w:rsidR="00A72FE8">
        <w:rPr>
          <w:sz w:val="20"/>
        </w:rPr>
        <w:t>863,525</w:t>
      </w:r>
      <w:r w:rsidRPr="000206BE">
        <w:rPr>
          <w:sz w:val="20"/>
        </w:rPr>
        <w:t xml:space="preserve"> (March 31, 20</w:t>
      </w:r>
      <w:r w:rsidR="00A72FE8">
        <w:rPr>
          <w:sz w:val="20"/>
        </w:rPr>
        <w:t>20</w:t>
      </w:r>
      <w:r w:rsidRPr="000206BE">
        <w:rPr>
          <w:sz w:val="20"/>
        </w:rPr>
        <w:t xml:space="preserve"> - $</w:t>
      </w:r>
      <w:r w:rsidR="00A72FE8">
        <w:rPr>
          <w:sz w:val="20"/>
        </w:rPr>
        <w:t>874,434</w:t>
      </w:r>
      <w:r w:rsidRPr="000206BE">
        <w:rPr>
          <w:sz w:val="20"/>
        </w:rPr>
        <w:t xml:space="preserve">). </w:t>
      </w:r>
    </w:p>
    <w:p w14:paraId="5FBDA068" w14:textId="77777777" w:rsidR="008B7870" w:rsidRPr="00F817A1" w:rsidRDefault="008B7870" w:rsidP="008B7870">
      <w:pPr>
        <w:widowControl/>
        <w:tabs>
          <w:tab w:val="left" w:pos="900"/>
        </w:tabs>
        <w:suppressAutoHyphens/>
        <w:overflowPunct w:val="0"/>
        <w:autoSpaceDE w:val="0"/>
        <w:autoSpaceDN w:val="0"/>
        <w:adjustRightInd w:val="0"/>
        <w:spacing w:after="120"/>
        <w:ind w:left="450"/>
        <w:jc w:val="both"/>
        <w:textAlignment w:val="baseline"/>
        <w:rPr>
          <w:b/>
          <w:spacing w:val="-3"/>
          <w:sz w:val="20"/>
        </w:rPr>
      </w:pPr>
      <w:r w:rsidRPr="00F817A1">
        <w:rPr>
          <w:b/>
          <w:spacing w:val="-3"/>
          <w:sz w:val="20"/>
        </w:rPr>
        <w:t>Market risk</w:t>
      </w:r>
    </w:p>
    <w:p w14:paraId="08BFB1DE" w14:textId="77777777" w:rsidR="008B7870" w:rsidRPr="000206BE" w:rsidRDefault="008B7870" w:rsidP="008B7870">
      <w:pPr>
        <w:autoSpaceDE w:val="0"/>
        <w:autoSpaceDN w:val="0"/>
        <w:adjustRightInd w:val="0"/>
        <w:spacing w:after="120"/>
        <w:ind w:left="432"/>
        <w:jc w:val="both"/>
        <w:rPr>
          <w:sz w:val="20"/>
        </w:rPr>
      </w:pPr>
      <w:r w:rsidRPr="000206BE">
        <w:rPr>
          <w:sz w:val="20"/>
        </w:rPr>
        <w:t>Market risk is the risk of loss that may arise from changes in market factors such as interest rates, foreign currency and price risk.</w:t>
      </w:r>
    </w:p>
    <w:p w14:paraId="3D173D55" w14:textId="77777777" w:rsidR="008B7870" w:rsidRPr="000206BE" w:rsidRDefault="008B7870" w:rsidP="008B7870">
      <w:pPr>
        <w:spacing w:after="120"/>
        <w:ind w:left="426"/>
        <w:jc w:val="both"/>
        <w:rPr>
          <w:sz w:val="20"/>
        </w:rPr>
      </w:pPr>
      <w:r>
        <w:rPr>
          <w:sz w:val="20"/>
        </w:rPr>
        <w:t xml:space="preserve">(i) </w:t>
      </w:r>
      <w:r w:rsidRPr="000206BE">
        <w:rPr>
          <w:sz w:val="20"/>
        </w:rPr>
        <w:t>Interest rate risk</w:t>
      </w:r>
    </w:p>
    <w:p w14:paraId="3F98BBBF" w14:textId="191C2B02" w:rsidR="008B7870" w:rsidRDefault="008B7870" w:rsidP="008B7870">
      <w:pPr>
        <w:autoSpaceDE w:val="0"/>
        <w:autoSpaceDN w:val="0"/>
        <w:adjustRightInd w:val="0"/>
        <w:spacing w:after="120"/>
        <w:ind w:left="432"/>
        <w:jc w:val="both"/>
        <w:rPr>
          <w:sz w:val="20"/>
        </w:rPr>
      </w:pPr>
      <w:r w:rsidRPr="000206BE">
        <w:rPr>
          <w:sz w:val="20"/>
        </w:rPr>
        <w:t xml:space="preserve">Interest rate risk is the risk that the fair value of future cash flows of a financial instrument will fluctuate because of changes in the market interest rates. The Company has no material exposure at </w:t>
      </w:r>
      <w:r w:rsidR="00A72FE8">
        <w:rPr>
          <w:sz w:val="20"/>
        </w:rPr>
        <w:t>June</w:t>
      </w:r>
      <w:r w:rsidRPr="000206BE">
        <w:rPr>
          <w:sz w:val="20"/>
        </w:rPr>
        <w:t xml:space="preserve"> 3</w:t>
      </w:r>
      <w:r w:rsidR="00A72FE8">
        <w:rPr>
          <w:sz w:val="20"/>
        </w:rPr>
        <w:t>0</w:t>
      </w:r>
      <w:r w:rsidRPr="000206BE">
        <w:rPr>
          <w:sz w:val="20"/>
        </w:rPr>
        <w:t>, 20</w:t>
      </w:r>
      <w:r>
        <w:rPr>
          <w:sz w:val="20"/>
        </w:rPr>
        <w:t>20</w:t>
      </w:r>
      <w:r w:rsidRPr="000206BE">
        <w:rPr>
          <w:sz w:val="20"/>
        </w:rPr>
        <w:t xml:space="preserve"> to interest rate risk through its financial instruments.</w:t>
      </w:r>
    </w:p>
    <w:p w14:paraId="3627B66B" w14:textId="77777777" w:rsidR="001805CE" w:rsidRDefault="001805CE">
      <w:pPr>
        <w:widowControl/>
        <w:rPr>
          <w:b/>
          <w:spacing w:val="-2"/>
          <w:sz w:val="20"/>
        </w:rPr>
      </w:pPr>
      <w:r>
        <w:rPr>
          <w:b/>
          <w:spacing w:val="-2"/>
          <w:sz w:val="20"/>
        </w:rPr>
        <w:br w:type="page"/>
      </w:r>
    </w:p>
    <w:p w14:paraId="65FEDFEC" w14:textId="6A3609ED" w:rsidR="00A10BEB" w:rsidRDefault="00A10BEB" w:rsidP="009C530E">
      <w:pPr>
        <w:autoSpaceDE w:val="0"/>
        <w:autoSpaceDN w:val="0"/>
        <w:adjustRightInd w:val="0"/>
        <w:spacing w:before="120"/>
        <w:ind w:left="425" w:hanging="425"/>
        <w:jc w:val="both"/>
        <w:rPr>
          <w:b/>
          <w:spacing w:val="-2"/>
          <w:sz w:val="20"/>
        </w:rPr>
      </w:pPr>
      <w:r>
        <w:rPr>
          <w:b/>
          <w:spacing w:val="-2"/>
          <w:sz w:val="20"/>
        </w:rPr>
        <w:lastRenderedPageBreak/>
        <w:t>9</w:t>
      </w:r>
      <w:r w:rsidRPr="00F817A1">
        <w:rPr>
          <w:b/>
          <w:spacing w:val="-2"/>
          <w:sz w:val="20"/>
        </w:rPr>
        <w:t>.</w:t>
      </w:r>
      <w:r w:rsidRPr="00F817A1">
        <w:rPr>
          <w:b/>
          <w:spacing w:val="-2"/>
          <w:sz w:val="20"/>
        </w:rPr>
        <w:tab/>
        <w:t>Financial instruments and risks (continued)</w:t>
      </w:r>
    </w:p>
    <w:p w14:paraId="004919B1" w14:textId="77777777" w:rsidR="00A10BEB" w:rsidRPr="00F817A1" w:rsidRDefault="00A10BEB" w:rsidP="00A10BEB">
      <w:pPr>
        <w:tabs>
          <w:tab w:val="left" w:pos="900"/>
        </w:tabs>
        <w:suppressAutoHyphens/>
        <w:overflowPunct w:val="0"/>
        <w:autoSpaceDE w:val="0"/>
        <w:autoSpaceDN w:val="0"/>
        <w:adjustRightInd w:val="0"/>
        <w:ind w:left="450"/>
        <w:jc w:val="both"/>
        <w:textAlignment w:val="baseline"/>
        <w:rPr>
          <w:b/>
          <w:spacing w:val="-3"/>
          <w:sz w:val="20"/>
        </w:rPr>
      </w:pPr>
    </w:p>
    <w:p w14:paraId="3DE895A0" w14:textId="2C73744F" w:rsidR="00B11C77" w:rsidRPr="00F817A1" w:rsidRDefault="00B11C77" w:rsidP="00F817A1">
      <w:pPr>
        <w:widowControl/>
        <w:tabs>
          <w:tab w:val="left" w:pos="900"/>
        </w:tabs>
        <w:suppressAutoHyphens/>
        <w:overflowPunct w:val="0"/>
        <w:autoSpaceDE w:val="0"/>
        <w:autoSpaceDN w:val="0"/>
        <w:adjustRightInd w:val="0"/>
        <w:spacing w:after="120"/>
        <w:ind w:left="450"/>
        <w:jc w:val="both"/>
        <w:textAlignment w:val="baseline"/>
        <w:rPr>
          <w:b/>
          <w:spacing w:val="-3"/>
          <w:sz w:val="20"/>
        </w:rPr>
      </w:pPr>
      <w:bookmarkStart w:id="13" w:name="_Hlk518549939"/>
      <w:r w:rsidRPr="00F817A1">
        <w:rPr>
          <w:b/>
          <w:spacing w:val="-3"/>
          <w:sz w:val="20"/>
        </w:rPr>
        <w:t>Market risk</w:t>
      </w:r>
      <w:r w:rsidR="008B7870">
        <w:rPr>
          <w:b/>
          <w:spacing w:val="-3"/>
          <w:sz w:val="20"/>
        </w:rPr>
        <w:t xml:space="preserve"> </w:t>
      </w:r>
      <w:r w:rsidR="008B7870" w:rsidRPr="00F817A1">
        <w:rPr>
          <w:b/>
          <w:spacing w:val="-2"/>
          <w:sz w:val="20"/>
        </w:rPr>
        <w:t>(continued)</w:t>
      </w:r>
    </w:p>
    <w:p w14:paraId="7EFC4FB9" w14:textId="77777777" w:rsidR="001805CE" w:rsidRPr="000206BE" w:rsidRDefault="001805CE" w:rsidP="001805CE">
      <w:pPr>
        <w:spacing w:after="120"/>
        <w:ind w:left="426"/>
        <w:jc w:val="both"/>
        <w:rPr>
          <w:sz w:val="20"/>
        </w:rPr>
      </w:pPr>
      <w:r>
        <w:rPr>
          <w:sz w:val="20"/>
        </w:rPr>
        <w:t xml:space="preserve">(ii) </w:t>
      </w:r>
      <w:r w:rsidRPr="000206BE">
        <w:rPr>
          <w:sz w:val="20"/>
        </w:rPr>
        <w:t>Foreign currency risk</w:t>
      </w:r>
    </w:p>
    <w:p w14:paraId="4F1BF7C0" w14:textId="308B5748" w:rsidR="001805CE" w:rsidRDefault="001805CE" w:rsidP="001805CE">
      <w:pPr>
        <w:spacing w:after="120"/>
        <w:ind w:left="426"/>
        <w:jc w:val="both"/>
        <w:rPr>
          <w:b/>
          <w:spacing w:val="-2"/>
          <w:sz w:val="20"/>
        </w:rPr>
      </w:pPr>
      <w:r w:rsidRPr="000206BE">
        <w:rPr>
          <w:sz w:val="20"/>
        </w:rPr>
        <w:t xml:space="preserve">Foreign currency risk is the risk that the fair values of future cash flows of a financial instrument will fluctuate because they are denominated in currencies that differ from the respective functional currency. </w:t>
      </w:r>
      <w:r>
        <w:rPr>
          <w:sz w:val="20"/>
        </w:rPr>
        <w:t>T</w:t>
      </w:r>
      <w:r w:rsidRPr="000206BE">
        <w:rPr>
          <w:sz w:val="20"/>
        </w:rPr>
        <w:t>he Company does not have any financial instruments denominated in a foreign currency. Foreign currency risk is assessed as low.</w:t>
      </w:r>
    </w:p>
    <w:p w14:paraId="398BC9D5" w14:textId="422CE362" w:rsidR="00B11C77" w:rsidRPr="000206BE" w:rsidRDefault="00684F65" w:rsidP="00F817A1">
      <w:pPr>
        <w:spacing w:after="120"/>
        <w:ind w:left="426"/>
        <w:jc w:val="both"/>
        <w:rPr>
          <w:sz w:val="20"/>
        </w:rPr>
      </w:pPr>
      <w:r w:rsidRPr="00F817A1" w:rsidDel="00F817A1">
        <w:rPr>
          <w:b/>
          <w:spacing w:val="-2"/>
          <w:sz w:val="20"/>
        </w:rPr>
        <w:t xml:space="preserve"> </w:t>
      </w:r>
      <w:r w:rsidR="00F817A1">
        <w:rPr>
          <w:sz w:val="20"/>
        </w:rPr>
        <w:t xml:space="preserve">(iii) </w:t>
      </w:r>
      <w:r w:rsidR="00B11C77" w:rsidRPr="000206BE">
        <w:rPr>
          <w:sz w:val="20"/>
        </w:rPr>
        <w:t>Price risk</w:t>
      </w:r>
    </w:p>
    <w:p w14:paraId="799CCDED" w14:textId="44E65635" w:rsidR="00B11C77" w:rsidRPr="000206BE" w:rsidRDefault="00B11C77" w:rsidP="00B11C77">
      <w:pPr>
        <w:widowControl/>
        <w:autoSpaceDE w:val="0"/>
        <w:autoSpaceDN w:val="0"/>
        <w:adjustRightInd w:val="0"/>
        <w:spacing w:after="120"/>
        <w:ind w:left="423"/>
        <w:jc w:val="both"/>
        <w:rPr>
          <w:sz w:val="20"/>
        </w:rPr>
      </w:pPr>
      <w:r w:rsidRPr="000206BE">
        <w:rPr>
          <w:sz w:val="20"/>
        </w:rPr>
        <w:t>The Company’s exposure to price risk with respect to commodity and equity prices is minimal due to the fact that the Company is still in the exploration stage with no earnings. Equity price risk is defined as the potential adverse impact on the Company’s earnings due to movements in individual equity prices or general movements in the level of the stock market. Commodity price risk is defined as the potential adverse impact on earnings and economic value due to commodity price movements and volatilities. The Company closely monitor</w:t>
      </w:r>
      <w:r w:rsidR="00C41E5B">
        <w:rPr>
          <w:sz w:val="20"/>
        </w:rPr>
        <w:t>s</w:t>
      </w:r>
      <w:r w:rsidRPr="000206BE">
        <w:rPr>
          <w:sz w:val="20"/>
        </w:rPr>
        <w:t xml:space="preserve"> commodity prices of gold and other precious and base metals, individual equity movements, and the stock market to determine the appropriate course of action to be taken by the Company when warranted. </w:t>
      </w:r>
      <w:bookmarkStart w:id="14" w:name="_Hlk45833150"/>
      <w:r w:rsidRPr="000206BE">
        <w:rPr>
          <w:sz w:val="20"/>
        </w:rPr>
        <w:t>The Company has assessed price risk as low.</w:t>
      </w:r>
    </w:p>
    <w:bookmarkEnd w:id="13"/>
    <w:bookmarkEnd w:id="14"/>
    <w:p w14:paraId="01D81B6A" w14:textId="5803D350" w:rsidR="008B7870" w:rsidRDefault="008B7870" w:rsidP="008B7870">
      <w:pPr>
        <w:autoSpaceDE w:val="0"/>
        <w:autoSpaceDN w:val="0"/>
        <w:adjustRightInd w:val="0"/>
        <w:spacing w:before="120"/>
        <w:ind w:left="425" w:hanging="425"/>
        <w:jc w:val="both"/>
        <w:rPr>
          <w:b/>
          <w:spacing w:val="-2"/>
          <w:sz w:val="20"/>
        </w:rPr>
      </w:pPr>
      <w:r w:rsidRPr="00F817A1">
        <w:rPr>
          <w:b/>
          <w:spacing w:val="-2"/>
          <w:sz w:val="20"/>
        </w:rPr>
        <w:t>1</w:t>
      </w:r>
      <w:r>
        <w:rPr>
          <w:b/>
          <w:spacing w:val="-2"/>
          <w:sz w:val="20"/>
        </w:rPr>
        <w:t>0</w:t>
      </w:r>
      <w:r w:rsidR="009C530E">
        <w:rPr>
          <w:b/>
          <w:spacing w:val="-2"/>
          <w:sz w:val="20"/>
        </w:rPr>
        <w:t>.</w:t>
      </w:r>
      <w:r>
        <w:rPr>
          <w:b/>
          <w:spacing w:val="-2"/>
          <w:sz w:val="20"/>
        </w:rPr>
        <w:tab/>
      </w:r>
      <w:r w:rsidRPr="00F817A1">
        <w:rPr>
          <w:b/>
          <w:spacing w:val="-2"/>
          <w:sz w:val="20"/>
        </w:rPr>
        <w:t>Related party transactions</w:t>
      </w:r>
    </w:p>
    <w:p w14:paraId="5AA062E2" w14:textId="77777777" w:rsidR="008B7870" w:rsidRPr="00F817A1" w:rsidRDefault="008B7870" w:rsidP="008B7870">
      <w:pPr>
        <w:widowControl/>
        <w:autoSpaceDE w:val="0"/>
        <w:autoSpaceDN w:val="0"/>
        <w:adjustRightInd w:val="0"/>
        <w:ind w:left="423"/>
        <w:jc w:val="both"/>
        <w:rPr>
          <w:sz w:val="20"/>
        </w:rPr>
      </w:pPr>
    </w:p>
    <w:p w14:paraId="55FE6CD7" w14:textId="77777777" w:rsidR="008B7870" w:rsidRPr="00982667" w:rsidRDefault="008B7870" w:rsidP="008B7870">
      <w:pPr>
        <w:widowControl/>
        <w:autoSpaceDE w:val="0"/>
        <w:autoSpaceDN w:val="0"/>
        <w:adjustRightInd w:val="0"/>
        <w:spacing w:after="120"/>
        <w:ind w:left="423"/>
        <w:jc w:val="both"/>
        <w:rPr>
          <w:sz w:val="20"/>
        </w:rPr>
      </w:pPr>
      <w:r w:rsidRPr="00982667">
        <w:rPr>
          <w:sz w:val="20"/>
        </w:rPr>
        <w:t>The Company incurred the following related party transactions, with associated persons or corporations, which were measured at the exchange amount as follows:</w:t>
      </w:r>
    </w:p>
    <w:p w14:paraId="1CA264CD" w14:textId="77777777" w:rsidR="008B7870" w:rsidRPr="00982667" w:rsidRDefault="008B7870" w:rsidP="008B7870">
      <w:pPr>
        <w:widowControl/>
        <w:autoSpaceDE w:val="0"/>
        <w:autoSpaceDN w:val="0"/>
        <w:adjustRightInd w:val="0"/>
        <w:spacing w:after="120"/>
        <w:ind w:left="810" w:hanging="387"/>
        <w:jc w:val="both"/>
        <w:rPr>
          <w:sz w:val="20"/>
        </w:rPr>
      </w:pPr>
      <w:r>
        <w:rPr>
          <w:sz w:val="20"/>
        </w:rPr>
        <w:t>a)</w:t>
      </w:r>
      <w:r>
        <w:rPr>
          <w:sz w:val="20"/>
        </w:rPr>
        <w:tab/>
      </w:r>
      <w:r w:rsidRPr="00982667">
        <w:rPr>
          <w:sz w:val="20"/>
        </w:rPr>
        <w:t>Key management includes directors, executive officers and officers which constitutes the management team. The Company paid or accrued compensation in form of consulting fees to companies controlled by directors, executive officers and officers as follows:</w:t>
      </w:r>
    </w:p>
    <w:tbl>
      <w:tblPr>
        <w:tblW w:w="8550" w:type="dxa"/>
        <w:tblInd w:w="810" w:type="dxa"/>
        <w:tblLook w:val="04A0" w:firstRow="1" w:lastRow="0" w:firstColumn="1" w:lastColumn="0" w:noHBand="0" w:noVBand="1"/>
      </w:tblPr>
      <w:tblGrid>
        <w:gridCol w:w="5344"/>
        <w:gridCol w:w="1931"/>
        <w:gridCol w:w="1279"/>
      </w:tblGrid>
      <w:tr w:rsidR="008B7870" w:rsidRPr="00C41E5B" w14:paraId="4FB1C1F5" w14:textId="77777777" w:rsidTr="006E5E57">
        <w:trPr>
          <w:trHeight w:val="216"/>
        </w:trPr>
        <w:tc>
          <w:tcPr>
            <w:tcW w:w="5344" w:type="dxa"/>
            <w:tcBorders>
              <w:top w:val="double" w:sz="4" w:space="0" w:color="auto"/>
              <w:left w:val="nil"/>
              <w:bottom w:val="single" w:sz="4" w:space="0" w:color="auto"/>
              <w:right w:val="nil"/>
            </w:tcBorders>
            <w:noWrap/>
            <w:vAlign w:val="bottom"/>
            <w:hideMark/>
          </w:tcPr>
          <w:p w14:paraId="1D01C725" w14:textId="3C16200C" w:rsidR="008B7870" w:rsidRPr="00C41E5B" w:rsidRDefault="00C41E5B" w:rsidP="00281D1B">
            <w:pPr>
              <w:rPr>
                <w:sz w:val="20"/>
              </w:rPr>
            </w:pPr>
            <w:r w:rsidRPr="00C41E5B">
              <w:rPr>
                <w:sz w:val="20"/>
              </w:rPr>
              <w:t xml:space="preserve">For the </w:t>
            </w:r>
            <w:r w:rsidR="00B931E2">
              <w:rPr>
                <w:sz w:val="20"/>
              </w:rPr>
              <w:t>three months period</w:t>
            </w:r>
            <w:r w:rsidR="008B7870" w:rsidRPr="00C41E5B">
              <w:rPr>
                <w:sz w:val="20"/>
              </w:rPr>
              <w:t xml:space="preserve"> ended</w:t>
            </w:r>
          </w:p>
        </w:tc>
        <w:tc>
          <w:tcPr>
            <w:tcW w:w="1931" w:type="dxa"/>
            <w:tcBorders>
              <w:top w:val="double" w:sz="4" w:space="0" w:color="auto"/>
              <w:left w:val="nil"/>
              <w:bottom w:val="single" w:sz="4" w:space="0" w:color="auto"/>
              <w:right w:val="nil"/>
            </w:tcBorders>
            <w:shd w:val="clear" w:color="auto" w:fill="auto"/>
            <w:vAlign w:val="bottom"/>
            <w:hideMark/>
          </w:tcPr>
          <w:p w14:paraId="68419288" w14:textId="0A41B97E" w:rsidR="008B7870" w:rsidRPr="006E5E57" w:rsidRDefault="00B931E2" w:rsidP="00281D1B">
            <w:pPr>
              <w:ind w:left="-108"/>
              <w:jc w:val="right"/>
              <w:rPr>
                <w:b/>
                <w:bCs/>
                <w:sz w:val="20"/>
              </w:rPr>
            </w:pPr>
            <w:r w:rsidRPr="006E5E57">
              <w:rPr>
                <w:b/>
                <w:bCs/>
                <w:sz w:val="20"/>
              </w:rPr>
              <w:t>June 30</w:t>
            </w:r>
            <w:r w:rsidR="008B7870" w:rsidRPr="006E5E57">
              <w:rPr>
                <w:b/>
                <w:bCs/>
                <w:sz w:val="20"/>
              </w:rPr>
              <w:t xml:space="preserve">, </w:t>
            </w:r>
          </w:p>
          <w:p w14:paraId="369F5F2C" w14:textId="77777777" w:rsidR="008B7870" w:rsidRPr="006E5E57" w:rsidRDefault="008B7870" w:rsidP="00281D1B">
            <w:pPr>
              <w:ind w:left="-108"/>
              <w:jc w:val="right"/>
              <w:rPr>
                <w:b/>
                <w:bCs/>
                <w:sz w:val="20"/>
              </w:rPr>
            </w:pPr>
            <w:r w:rsidRPr="006E5E57">
              <w:rPr>
                <w:b/>
                <w:bCs/>
                <w:sz w:val="20"/>
              </w:rPr>
              <w:t>2020</w:t>
            </w:r>
          </w:p>
          <w:p w14:paraId="1B12E6D0" w14:textId="77777777" w:rsidR="008B7870" w:rsidRPr="006E5E57" w:rsidRDefault="008B7870" w:rsidP="00281D1B">
            <w:pPr>
              <w:ind w:left="-108"/>
              <w:jc w:val="right"/>
              <w:rPr>
                <w:b/>
                <w:bCs/>
                <w:sz w:val="20"/>
              </w:rPr>
            </w:pPr>
            <w:r w:rsidRPr="006E5E57">
              <w:rPr>
                <w:b/>
                <w:bCs/>
                <w:sz w:val="20"/>
              </w:rPr>
              <w:t xml:space="preserve">$ </w:t>
            </w:r>
          </w:p>
        </w:tc>
        <w:tc>
          <w:tcPr>
            <w:tcW w:w="1275" w:type="dxa"/>
            <w:tcBorders>
              <w:top w:val="double" w:sz="4" w:space="0" w:color="auto"/>
              <w:left w:val="nil"/>
              <w:bottom w:val="single" w:sz="4" w:space="0" w:color="auto"/>
              <w:right w:val="nil"/>
            </w:tcBorders>
            <w:vAlign w:val="bottom"/>
            <w:hideMark/>
          </w:tcPr>
          <w:p w14:paraId="3F2D8C82" w14:textId="241CC160" w:rsidR="008B7870" w:rsidRPr="00C41E5B" w:rsidRDefault="00B931E2" w:rsidP="00281D1B">
            <w:pPr>
              <w:ind w:left="-108"/>
              <w:jc w:val="right"/>
              <w:rPr>
                <w:sz w:val="20"/>
              </w:rPr>
            </w:pPr>
            <w:r>
              <w:rPr>
                <w:sz w:val="20"/>
              </w:rPr>
              <w:t>June 30</w:t>
            </w:r>
            <w:r w:rsidR="008B7870" w:rsidRPr="00C41E5B">
              <w:rPr>
                <w:sz w:val="20"/>
              </w:rPr>
              <w:t xml:space="preserve">, </w:t>
            </w:r>
          </w:p>
          <w:p w14:paraId="517433FD" w14:textId="77777777" w:rsidR="008B7870" w:rsidRPr="00C41E5B" w:rsidRDefault="008B7870" w:rsidP="00281D1B">
            <w:pPr>
              <w:ind w:left="-108"/>
              <w:jc w:val="right"/>
              <w:rPr>
                <w:sz w:val="20"/>
              </w:rPr>
            </w:pPr>
            <w:r w:rsidRPr="00C41E5B">
              <w:rPr>
                <w:sz w:val="20"/>
              </w:rPr>
              <w:t>2019</w:t>
            </w:r>
          </w:p>
          <w:p w14:paraId="71FB45CD" w14:textId="77777777" w:rsidR="008B7870" w:rsidRPr="00C41E5B" w:rsidRDefault="008B7870" w:rsidP="00281D1B">
            <w:pPr>
              <w:jc w:val="right"/>
              <w:rPr>
                <w:sz w:val="20"/>
              </w:rPr>
            </w:pPr>
            <w:r w:rsidRPr="00C41E5B">
              <w:rPr>
                <w:sz w:val="20"/>
              </w:rPr>
              <w:t xml:space="preserve">$ </w:t>
            </w:r>
          </w:p>
        </w:tc>
      </w:tr>
      <w:tr w:rsidR="008B7870" w:rsidRPr="00C41E5B" w14:paraId="520DA8AC" w14:textId="77777777" w:rsidTr="006E5E57">
        <w:trPr>
          <w:trHeight w:val="216"/>
        </w:trPr>
        <w:tc>
          <w:tcPr>
            <w:tcW w:w="5344" w:type="dxa"/>
            <w:tcBorders>
              <w:top w:val="single" w:sz="4" w:space="0" w:color="auto"/>
              <w:left w:val="nil"/>
              <w:right w:val="nil"/>
            </w:tcBorders>
            <w:noWrap/>
            <w:vAlign w:val="bottom"/>
          </w:tcPr>
          <w:p w14:paraId="716AB0D6" w14:textId="77777777" w:rsidR="008B7870" w:rsidRPr="00C41E5B" w:rsidRDefault="008B7870" w:rsidP="00281D1B">
            <w:pPr>
              <w:rPr>
                <w:sz w:val="20"/>
              </w:rPr>
            </w:pPr>
          </w:p>
        </w:tc>
        <w:tc>
          <w:tcPr>
            <w:tcW w:w="1931" w:type="dxa"/>
            <w:tcBorders>
              <w:top w:val="single" w:sz="4" w:space="0" w:color="auto"/>
              <w:left w:val="nil"/>
              <w:right w:val="nil"/>
            </w:tcBorders>
            <w:shd w:val="clear" w:color="auto" w:fill="auto"/>
            <w:noWrap/>
            <w:vAlign w:val="bottom"/>
          </w:tcPr>
          <w:p w14:paraId="250F03F8" w14:textId="77777777" w:rsidR="008B7870" w:rsidRPr="006E5E57" w:rsidRDefault="008B7870" w:rsidP="00281D1B">
            <w:pPr>
              <w:tabs>
                <w:tab w:val="decimal" w:pos="1062"/>
              </w:tabs>
              <w:jc w:val="right"/>
              <w:rPr>
                <w:b/>
                <w:sz w:val="20"/>
              </w:rPr>
            </w:pPr>
          </w:p>
        </w:tc>
        <w:tc>
          <w:tcPr>
            <w:tcW w:w="1275" w:type="dxa"/>
            <w:tcBorders>
              <w:top w:val="single" w:sz="4" w:space="0" w:color="auto"/>
              <w:left w:val="nil"/>
              <w:right w:val="nil"/>
            </w:tcBorders>
            <w:shd w:val="clear" w:color="auto" w:fill="auto"/>
            <w:noWrap/>
            <w:vAlign w:val="bottom"/>
          </w:tcPr>
          <w:p w14:paraId="4C180F3E" w14:textId="77777777" w:rsidR="008B7870" w:rsidRPr="00C41E5B" w:rsidDel="00EC2F2E" w:rsidRDefault="008B7870" w:rsidP="00281D1B">
            <w:pPr>
              <w:tabs>
                <w:tab w:val="decimal" w:pos="1062"/>
              </w:tabs>
              <w:jc w:val="right"/>
              <w:rPr>
                <w:sz w:val="20"/>
              </w:rPr>
            </w:pPr>
          </w:p>
        </w:tc>
      </w:tr>
      <w:tr w:rsidR="008B7870" w:rsidRPr="00C41E5B" w14:paraId="6295A2DC" w14:textId="77777777" w:rsidTr="006E5E57">
        <w:trPr>
          <w:trHeight w:val="216"/>
        </w:trPr>
        <w:tc>
          <w:tcPr>
            <w:tcW w:w="5344" w:type="dxa"/>
            <w:tcBorders>
              <w:left w:val="nil"/>
              <w:right w:val="nil"/>
            </w:tcBorders>
            <w:noWrap/>
            <w:vAlign w:val="bottom"/>
            <w:hideMark/>
          </w:tcPr>
          <w:p w14:paraId="710C9E94" w14:textId="2A2CA3BF" w:rsidR="008B7870" w:rsidRPr="00C41E5B" w:rsidRDefault="008B7870" w:rsidP="00281D1B">
            <w:pPr>
              <w:rPr>
                <w:sz w:val="20"/>
              </w:rPr>
            </w:pPr>
            <w:r w:rsidRPr="00C41E5B">
              <w:rPr>
                <w:sz w:val="20"/>
              </w:rPr>
              <w:t xml:space="preserve">Consulting fees accrued or paid to a company controlled by the President </w:t>
            </w:r>
          </w:p>
        </w:tc>
        <w:tc>
          <w:tcPr>
            <w:tcW w:w="1931" w:type="dxa"/>
            <w:tcBorders>
              <w:left w:val="nil"/>
              <w:right w:val="nil"/>
            </w:tcBorders>
            <w:shd w:val="clear" w:color="auto" w:fill="auto"/>
            <w:noWrap/>
            <w:vAlign w:val="bottom"/>
          </w:tcPr>
          <w:p w14:paraId="0C2C9AA4" w14:textId="09BDD662" w:rsidR="008B7870" w:rsidRPr="00105A43" w:rsidRDefault="00FC1C46" w:rsidP="00281D1B">
            <w:pPr>
              <w:tabs>
                <w:tab w:val="decimal" w:pos="1062"/>
              </w:tabs>
              <w:jc w:val="right"/>
              <w:rPr>
                <w:b/>
                <w:bCs/>
                <w:sz w:val="20"/>
              </w:rPr>
            </w:pPr>
            <w:r>
              <w:rPr>
                <w:b/>
                <w:bCs/>
                <w:sz w:val="20"/>
              </w:rPr>
              <w:t>18,000</w:t>
            </w:r>
          </w:p>
        </w:tc>
        <w:tc>
          <w:tcPr>
            <w:tcW w:w="1275" w:type="dxa"/>
            <w:tcBorders>
              <w:left w:val="nil"/>
              <w:right w:val="nil"/>
            </w:tcBorders>
            <w:shd w:val="clear" w:color="auto" w:fill="auto"/>
            <w:noWrap/>
            <w:vAlign w:val="bottom"/>
          </w:tcPr>
          <w:p w14:paraId="26353742" w14:textId="179DE991" w:rsidR="008B7870" w:rsidRPr="00C41E5B" w:rsidRDefault="00B931E2" w:rsidP="00281D1B">
            <w:pPr>
              <w:tabs>
                <w:tab w:val="decimal" w:pos="1062"/>
              </w:tabs>
              <w:jc w:val="right"/>
              <w:rPr>
                <w:sz w:val="20"/>
              </w:rPr>
            </w:pPr>
            <w:r>
              <w:rPr>
                <w:sz w:val="20"/>
              </w:rPr>
              <w:t>18,000</w:t>
            </w:r>
          </w:p>
        </w:tc>
      </w:tr>
      <w:tr w:rsidR="008B7870" w:rsidRPr="00C41E5B" w14:paraId="5E75C936" w14:textId="77777777" w:rsidTr="006E5E57">
        <w:trPr>
          <w:trHeight w:val="216"/>
        </w:trPr>
        <w:tc>
          <w:tcPr>
            <w:tcW w:w="5344" w:type="dxa"/>
            <w:tcBorders>
              <w:left w:val="nil"/>
              <w:right w:val="nil"/>
            </w:tcBorders>
            <w:shd w:val="clear" w:color="auto" w:fill="auto"/>
            <w:noWrap/>
            <w:vAlign w:val="bottom"/>
          </w:tcPr>
          <w:p w14:paraId="2195C17E" w14:textId="77777777" w:rsidR="008B7870" w:rsidRPr="00C41E5B" w:rsidRDefault="008B7870" w:rsidP="00281D1B">
            <w:pPr>
              <w:rPr>
                <w:sz w:val="20"/>
              </w:rPr>
            </w:pPr>
            <w:r w:rsidRPr="00C41E5B">
              <w:rPr>
                <w:sz w:val="20"/>
              </w:rPr>
              <w:t>Consulting fees accrued or paid to a company controlled by the CFO</w:t>
            </w:r>
          </w:p>
        </w:tc>
        <w:tc>
          <w:tcPr>
            <w:tcW w:w="1931" w:type="dxa"/>
            <w:tcBorders>
              <w:left w:val="nil"/>
              <w:right w:val="nil"/>
            </w:tcBorders>
            <w:shd w:val="clear" w:color="auto" w:fill="auto"/>
            <w:noWrap/>
            <w:vAlign w:val="bottom"/>
          </w:tcPr>
          <w:p w14:paraId="092CC403" w14:textId="440C1EF9" w:rsidR="008B7870" w:rsidRPr="00105A43" w:rsidRDefault="00FC1C46" w:rsidP="00281D1B">
            <w:pPr>
              <w:tabs>
                <w:tab w:val="decimal" w:pos="1062"/>
              </w:tabs>
              <w:jc w:val="right"/>
              <w:rPr>
                <w:b/>
                <w:bCs/>
                <w:sz w:val="20"/>
              </w:rPr>
            </w:pPr>
            <w:r>
              <w:rPr>
                <w:b/>
                <w:bCs/>
                <w:sz w:val="20"/>
              </w:rPr>
              <w:t>15,000</w:t>
            </w:r>
          </w:p>
        </w:tc>
        <w:tc>
          <w:tcPr>
            <w:tcW w:w="1275" w:type="dxa"/>
            <w:tcBorders>
              <w:left w:val="nil"/>
              <w:right w:val="nil"/>
            </w:tcBorders>
            <w:shd w:val="clear" w:color="auto" w:fill="auto"/>
            <w:noWrap/>
            <w:vAlign w:val="bottom"/>
          </w:tcPr>
          <w:p w14:paraId="15685446" w14:textId="0D844754" w:rsidR="008B7870" w:rsidRPr="00C41E5B" w:rsidRDefault="00B931E2" w:rsidP="00281D1B">
            <w:pPr>
              <w:tabs>
                <w:tab w:val="decimal" w:pos="1062"/>
              </w:tabs>
              <w:jc w:val="right"/>
              <w:rPr>
                <w:sz w:val="20"/>
              </w:rPr>
            </w:pPr>
            <w:r>
              <w:rPr>
                <w:sz w:val="20"/>
              </w:rPr>
              <w:t>1</w:t>
            </w:r>
            <w:r w:rsidR="008B7870" w:rsidRPr="00C41E5B">
              <w:rPr>
                <w:sz w:val="20"/>
              </w:rPr>
              <w:t>5,000</w:t>
            </w:r>
          </w:p>
        </w:tc>
      </w:tr>
      <w:tr w:rsidR="008B7870" w:rsidRPr="00C41E5B" w14:paraId="5BFAF76E" w14:textId="77777777" w:rsidTr="006E5E57">
        <w:trPr>
          <w:trHeight w:val="216"/>
        </w:trPr>
        <w:tc>
          <w:tcPr>
            <w:tcW w:w="5344" w:type="dxa"/>
            <w:tcBorders>
              <w:left w:val="nil"/>
              <w:right w:val="nil"/>
            </w:tcBorders>
            <w:noWrap/>
            <w:vAlign w:val="bottom"/>
          </w:tcPr>
          <w:p w14:paraId="431FA36E" w14:textId="77777777" w:rsidR="008B7870" w:rsidRPr="00C41E5B" w:rsidRDefault="008B7870" w:rsidP="00281D1B">
            <w:pPr>
              <w:rPr>
                <w:sz w:val="20"/>
              </w:rPr>
            </w:pPr>
            <w:r w:rsidRPr="00C41E5B">
              <w:rPr>
                <w:sz w:val="20"/>
              </w:rPr>
              <w:t>Consulting fees accrued or paid to a company controlled by the CEO</w:t>
            </w:r>
          </w:p>
        </w:tc>
        <w:tc>
          <w:tcPr>
            <w:tcW w:w="1931" w:type="dxa"/>
            <w:tcBorders>
              <w:left w:val="nil"/>
              <w:right w:val="nil"/>
            </w:tcBorders>
            <w:shd w:val="clear" w:color="auto" w:fill="auto"/>
            <w:noWrap/>
            <w:vAlign w:val="bottom"/>
          </w:tcPr>
          <w:p w14:paraId="2FCD9CD6" w14:textId="16FD504A" w:rsidR="008B7870" w:rsidRPr="00105A43" w:rsidRDefault="006E5E57" w:rsidP="00281D1B">
            <w:pPr>
              <w:tabs>
                <w:tab w:val="decimal" w:pos="1062"/>
              </w:tabs>
              <w:jc w:val="right"/>
              <w:rPr>
                <w:b/>
                <w:bCs/>
                <w:sz w:val="20"/>
              </w:rPr>
            </w:pPr>
            <w:r w:rsidRPr="00105A43">
              <w:rPr>
                <w:b/>
                <w:bCs/>
                <w:sz w:val="20"/>
              </w:rPr>
              <w:t>39,360</w:t>
            </w:r>
          </w:p>
        </w:tc>
        <w:tc>
          <w:tcPr>
            <w:tcW w:w="1275" w:type="dxa"/>
            <w:tcBorders>
              <w:left w:val="nil"/>
              <w:right w:val="nil"/>
            </w:tcBorders>
            <w:shd w:val="clear" w:color="auto" w:fill="auto"/>
            <w:noWrap/>
            <w:vAlign w:val="bottom"/>
          </w:tcPr>
          <w:p w14:paraId="7E068A77" w14:textId="68026635" w:rsidR="008B7870" w:rsidRPr="00C41E5B" w:rsidDel="00EC2F2E" w:rsidRDefault="00B931E2" w:rsidP="00281D1B">
            <w:pPr>
              <w:tabs>
                <w:tab w:val="decimal" w:pos="1062"/>
              </w:tabs>
              <w:jc w:val="right"/>
              <w:rPr>
                <w:sz w:val="20"/>
              </w:rPr>
            </w:pPr>
            <w:r>
              <w:rPr>
                <w:sz w:val="20"/>
              </w:rPr>
              <w:t>39,975</w:t>
            </w:r>
          </w:p>
        </w:tc>
      </w:tr>
      <w:tr w:rsidR="008B7870" w:rsidRPr="00C41E5B" w14:paraId="70AB1CA8" w14:textId="77777777" w:rsidTr="006E5E57">
        <w:trPr>
          <w:trHeight w:val="288"/>
        </w:trPr>
        <w:tc>
          <w:tcPr>
            <w:tcW w:w="5344" w:type="dxa"/>
            <w:tcBorders>
              <w:top w:val="single" w:sz="4" w:space="0" w:color="auto"/>
              <w:left w:val="nil"/>
              <w:bottom w:val="double" w:sz="4" w:space="0" w:color="auto"/>
              <w:right w:val="nil"/>
            </w:tcBorders>
            <w:noWrap/>
            <w:vAlign w:val="bottom"/>
          </w:tcPr>
          <w:p w14:paraId="50F08D73" w14:textId="77777777" w:rsidR="008B7870" w:rsidRPr="00C41E5B" w:rsidRDefault="008B7870" w:rsidP="00281D1B">
            <w:pPr>
              <w:rPr>
                <w:sz w:val="20"/>
              </w:rPr>
            </w:pPr>
          </w:p>
        </w:tc>
        <w:tc>
          <w:tcPr>
            <w:tcW w:w="1931" w:type="dxa"/>
            <w:tcBorders>
              <w:top w:val="single" w:sz="4" w:space="0" w:color="auto"/>
              <w:left w:val="nil"/>
              <w:bottom w:val="double" w:sz="4" w:space="0" w:color="auto"/>
              <w:right w:val="nil"/>
            </w:tcBorders>
            <w:shd w:val="clear" w:color="auto" w:fill="auto"/>
            <w:noWrap/>
            <w:vAlign w:val="bottom"/>
          </w:tcPr>
          <w:p w14:paraId="376F47F3" w14:textId="200D1325" w:rsidR="008B7870" w:rsidRPr="006E5E57" w:rsidRDefault="00FC1C46" w:rsidP="00281D1B">
            <w:pPr>
              <w:tabs>
                <w:tab w:val="decimal" w:pos="1062"/>
              </w:tabs>
              <w:jc w:val="right"/>
              <w:rPr>
                <w:b/>
                <w:sz w:val="20"/>
              </w:rPr>
            </w:pPr>
            <w:r>
              <w:rPr>
                <w:b/>
                <w:sz w:val="20"/>
              </w:rPr>
              <w:t>72,360</w:t>
            </w:r>
          </w:p>
        </w:tc>
        <w:tc>
          <w:tcPr>
            <w:tcW w:w="1275" w:type="dxa"/>
            <w:tcBorders>
              <w:top w:val="single" w:sz="4" w:space="0" w:color="auto"/>
              <w:left w:val="nil"/>
              <w:bottom w:val="double" w:sz="4" w:space="0" w:color="auto"/>
              <w:right w:val="nil"/>
            </w:tcBorders>
            <w:shd w:val="clear" w:color="auto" w:fill="auto"/>
            <w:noWrap/>
            <w:vAlign w:val="bottom"/>
          </w:tcPr>
          <w:p w14:paraId="43280095" w14:textId="0C33E261" w:rsidR="008B7870" w:rsidRPr="00C41E5B" w:rsidRDefault="00B931E2" w:rsidP="00281D1B">
            <w:pPr>
              <w:tabs>
                <w:tab w:val="decimal" w:pos="1062"/>
              </w:tabs>
              <w:jc w:val="right"/>
              <w:rPr>
                <w:sz w:val="20"/>
              </w:rPr>
            </w:pPr>
            <w:r>
              <w:rPr>
                <w:sz w:val="20"/>
              </w:rPr>
              <w:t>72,975</w:t>
            </w:r>
          </w:p>
        </w:tc>
      </w:tr>
    </w:tbl>
    <w:p w14:paraId="6F7752A3" w14:textId="27B012A3" w:rsidR="008B7870" w:rsidRDefault="008B7870" w:rsidP="008B7870">
      <w:pPr>
        <w:widowControl/>
        <w:autoSpaceDE w:val="0"/>
        <w:autoSpaceDN w:val="0"/>
        <w:adjustRightInd w:val="0"/>
        <w:spacing w:before="120" w:after="120"/>
        <w:ind w:left="810" w:hanging="387"/>
        <w:jc w:val="both"/>
        <w:rPr>
          <w:sz w:val="20"/>
        </w:rPr>
      </w:pPr>
      <w:r>
        <w:rPr>
          <w:sz w:val="20"/>
        </w:rPr>
        <w:t>b)</w:t>
      </w:r>
      <w:r>
        <w:rPr>
          <w:sz w:val="20"/>
        </w:rPr>
        <w:tab/>
      </w:r>
      <w:bookmarkStart w:id="15" w:name="_Hlk45833040"/>
      <w:r w:rsidRPr="00982667">
        <w:rPr>
          <w:sz w:val="20"/>
        </w:rPr>
        <w:t xml:space="preserve">As at </w:t>
      </w:r>
      <w:r w:rsidR="00804A52">
        <w:rPr>
          <w:sz w:val="20"/>
        </w:rPr>
        <w:t>June 30</w:t>
      </w:r>
      <w:r w:rsidRPr="00982667">
        <w:rPr>
          <w:sz w:val="20"/>
        </w:rPr>
        <w:t>, 20</w:t>
      </w:r>
      <w:r>
        <w:rPr>
          <w:sz w:val="20"/>
        </w:rPr>
        <w:t>20</w:t>
      </w:r>
      <w:r w:rsidRPr="00982667">
        <w:rPr>
          <w:sz w:val="20"/>
        </w:rPr>
        <w:t xml:space="preserve">, total amounts payable to directors and companies owned </w:t>
      </w:r>
      <w:r w:rsidR="00056541">
        <w:rPr>
          <w:sz w:val="20"/>
        </w:rPr>
        <w:t>by directors</w:t>
      </w:r>
      <w:r w:rsidR="00056541" w:rsidRPr="00982667">
        <w:rPr>
          <w:sz w:val="20"/>
        </w:rPr>
        <w:t xml:space="preserve"> </w:t>
      </w:r>
      <w:r w:rsidRPr="00982667">
        <w:rPr>
          <w:sz w:val="20"/>
        </w:rPr>
        <w:t xml:space="preserve">in </w:t>
      </w:r>
      <w:r>
        <w:rPr>
          <w:sz w:val="20"/>
        </w:rPr>
        <w:t xml:space="preserve">accounts payable and </w:t>
      </w:r>
      <w:r w:rsidRPr="00982667">
        <w:rPr>
          <w:sz w:val="20"/>
        </w:rPr>
        <w:t>accrued liabilities were $</w:t>
      </w:r>
      <w:r>
        <w:rPr>
          <w:sz w:val="20"/>
        </w:rPr>
        <w:t>2</w:t>
      </w:r>
      <w:r w:rsidR="00804A52">
        <w:rPr>
          <w:sz w:val="20"/>
        </w:rPr>
        <w:t>58</w:t>
      </w:r>
      <w:r>
        <w:rPr>
          <w:sz w:val="20"/>
        </w:rPr>
        <w:t>,</w:t>
      </w:r>
      <w:r w:rsidR="00804A52">
        <w:rPr>
          <w:sz w:val="20"/>
        </w:rPr>
        <w:t>115</w:t>
      </w:r>
      <w:r w:rsidRPr="00982667">
        <w:rPr>
          <w:sz w:val="20"/>
        </w:rPr>
        <w:t xml:space="preserve"> (March 31, 20</w:t>
      </w:r>
      <w:r w:rsidR="00804A52">
        <w:rPr>
          <w:sz w:val="20"/>
        </w:rPr>
        <w:t>20</w:t>
      </w:r>
      <w:r w:rsidRPr="00982667">
        <w:rPr>
          <w:sz w:val="20"/>
        </w:rPr>
        <w:t xml:space="preserve"> - $</w:t>
      </w:r>
      <w:r w:rsidR="00804A52">
        <w:rPr>
          <w:sz w:val="20"/>
        </w:rPr>
        <w:t>270,064</w:t>
      </w:r>
      <w:r w:rsidRPr="00982667">
        <w:rPr>
          <w:sz w:val="20"/>
        </w:rPr>
        <w:t>) (note 7).</w:t>
      </w:r>
      <w:r>
        <w:rPr>
          <w:sz w:val="20"/>
        </w:rPr>
        <w:t xml:space="preserve"> </w:t>
      </w:r>
      <w:r w:rsidR="00056541">
        <w:rPr>
          <w:sz w:val="20"/>
        </w:rPr>
        <w:t>The b</w:t>
      </w:r>
      <w:r w:rsidRPr="00982667">
        <w:rPr>
          <w:sz w:val="20"/>
        </w:rPr>
        <w:t>alance</w:t>
      </w:r>
      <w:r w:rsidR="00056541">
        <w:rPr>
          <w:sz w:val="20"/>
        </w:rPr>
        <w:t>s</w:t>
      </w:r>
      <w:r w:rsidRPr="00982667">
        <w:rPr>
          <w:sz w:val="20"/>
        </w:rPr>
        <w:t xml:space="preserve"> due to related parties are interest free, due to demand </w:t>
      </w:r>
      <w:r w:rsidR="00C27E08" w:rsidRPr="00982667">
        <w:rPr>
          <w:sz w:val="20"/>
        </w:rPr>
        <w:t>and</w:t>
      </w:r>
      <w:r w:rsidR="00C27E08">
        <w:rPr>
          <w:sz w:val="20"/>
        </w:rPr>
        <w:t xml:space="preserve"> </w:t>
      </w:r>
      <w:r w:rsidR="00C27E08" w:rsidRPr="00982667">
        <w:rPr>
          <w:sz w:val="20"/>
        </w:rPr>
        <w:t>are</w:t>
      </w:r>
      <w:r w:rsidR="00056541">
        <w:rPr>
          <w:sz w:val="20"/>
        </w:rPr>
        <w:t xml:space="preserve"> </w:t>
      </w:r>
      <w:r w:rsidRPr="00982667">
        <w:rPr>
          <w:sz w:val="20"/>
        </w:rPr>
        <w:t>unsecured.</w:t>
      </w:r>
      <w:bookmarkEnd w:id="15"/>
    </w:p>
    <w:p w14:paraId="4FAA2FEC" w14:textId="630B1FCC" w:rsidR="008B7870" w:rsidRDefault="008B7870" w:rsidP="008B7870">
      <w:pPr>
        <w:widowControl/>
        <w:autoSpaceDE w:val="0"/>
        <w:autoSpaceDN w:val="0"/>
        <w:adjustRightInd w:val="0"/>
        <w:spacing w:before="120" w:after="120"/>
        <w:ind w:left="810" w:hanging="387"/>
        <w:jc w:val="both"/>
        <w:rPr>
          <w:sz w:val="20"/>
        </w:rPr>
      </w:pPr>
      <w:r>
        <w:rPr>
          <w:sz w:val="20"/>
        </w:rPr>
        <w:t xml:space="preserve"> </w:t>
      </w:r>
    </w:p>
    <w:p w14:paraId="2332B489" w14:textId="77777777" w:rsidR="00A10BEB" w:rsidRDefault="00A10BEB">
      <w:pPr>
        <w:widowControl/>
        <w:rPr>
          <w:b/>
          <w:spacing w:val="-2"/>
          <w:sz w:val="20"/>
        </w:rPr>
      </w:pPr>
      <w:r>
        <w:rPr>
          <w:b/>
          <w:spacing w:val="-2"/>
          <w:sz w:val="20"/>
        </w:rPr>
        <w:br w:type="page"/>
      </w:r>
    </w:p>
    <w:p w14:paraId="6A6BF267" w14:textId="762F5013" w:rsidR="00D1013E" w:rsidRDefault="00D1013E" w:rsidP="0007289E">
      <w:pPr>
        <w:autoSpaceDE w:val="0"/>
        <w:autoSpaceDN w:val="0"/>
        <w:adjustRightInd w:val="0"/>
        <w:spacing w:before="120"/>
        <w:ind w:left="425" w:hanging="425"/>
        <w:jc w:val="both"/>
        <w:rPr>
          <w:b/>
          <w:spacing w:val="-2"/>
          <w:sz w:val="20"/>
        </w:rPr>
      </w:pPr>
      <w:r w:rsidRPr="0007289E">
        <w:rPr>
          <w:b/>
          <w:spacing w:val="-2"/>
          <w:sz w:val="20"/>
        </w:rPr>
        <w:lastRenderedPageBreak/>
        <w:t>1</w:t>
      </w:r>
      <w:r w:rsidR="0007289E">
        <w:rPr>
          <w:b/>
          <w:spacing w:val="-2"/>
          <w:sz w:val="20"/>
        </w:rPr>
        <w:t>1</w:t>
      </w:r>
      <w:r w:rsidRPr="0007289E">
        <w:rPr>
          <w:b/>
          <w:spacing w:val="-2"/>
          <w:sz w:val="20"/>
        </w:rPr>
        <w:t>.</w:t>
      </w:r>
      <w:r w:rsidRPr="0007289E">
        <w:rPr>
          <w:b/>
          <w:spacing w:val="-2"/>
          <w:sz w:val="20"/>
        </w:rPr>
        <w:tab/>
        <w:t>Flow-through liability</w:t>
      </w:r>
    </w:p>
    <w:p w14:paraId="35500D1C" w14:textId="77777777" w:rsidR="0007289E" w:rsidRPr="0007289E" w:rsidRDefault="0007289E" w:rsidP="0007289E">
      <w:pPr>
        <w:autoSpaceDE w:val="0"/>
        <w:autoSpaceDN w:val="0"/>
        <w:adjustRightInd w:val="0"/>
        <w:ind w:left="425" w:hanging="425"/>
        <w:jc w:val="both"/>
        <w:rPr>
          <w:b/>
          <w:spacing w:val="-2"/>
          <w:sz w:val="20"/>
        </w:rPr>
      </w:pPr>
    </w:p>
    <w:p w14:paraId="4A3F3B0D" w14:textId="342D17E6" w:rsidR="00D1013E" w:rsidRPr="00D1013E" w:rsidRDefault="00D1013E" w:rsidP="0007289E">
      <w:pPr>
        <w:widowControl/>
        <w:autoSpaceDE w:val="0"/>
        <w:autoSpaceDN w:val="0"/>
        <w:adjustRightInd w:val="0"/>
        <w:spacing w:after="120"/>
        <w:ind w:left="423"/>
        <w:jc w:val="both"/>
        <w:rPr>
          <w:sz w:val="20"/>
        </w:rPr>
      </w:pPr>
      <w:r w:rsidRPr="00D1013E">
        <w:rPr>
          <w:sz w:val="20"/>
        </w:rPr>
        <w:t xml:space="preserve">For the purposes of calculation any premium related to the issuance of the flow-through </w:t>
      </w:r>
      <w:r w:rsidR="00D1270F">
        <w:rPr>
          <w:sz w:val="20"/>
        </w:rPr>
        <w:t>shares</w:t>
      </w:r>
      <w:r w:rsidRPr="00D1013E">
        <w:rPr>
          <w:sz w:val="20"/>
        </w:rPr>
        <w:t xml:space="preserve">, the Company compared the market price of its shares to the subscription price of flow-through shares to determine if there was a premium paid on the flow-through shares (Note </w:t>
      </w:r>
      <w:r w:rsidR="006A68BD">
        <w:rPr>
          <w:sz w:val="20"/>
        </w:rPr>
        <w:t>7</w:t>
      </w:r>
      <w:r w:rsidRPr="00D1013E">
        <w:rPr>
          <w:sz w:val="20"/>
        </w:rPr>
        <w:t>). As a result, the Company’s flow-through liability on issuance of flow through shares in connection with private placements is as follows:</w:t>
      </w:r>
    </w:p>
    <w:tbl>
      <w:tblPr>
        <w:tblStyle w:val="TableGrid"/>
        <w:tblW w:w="90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4"/>
        <w:gridCol w:w="1890"/>
        <w:gridCol w:w="1620"/>
      </w:tblGrid>
      <w:tr w:rsidR="003F6C39" w:rsidRPr="003F6C39" w14:paraId="02A909F6" w14:textId="77777777" w:rsidTr="0007289E">
        <w:trPr>
          <w:trHeight w:val="538"/>
        </w:trPr>
        <w:tc>
          <w:tcPr>
            <w:tcW w:w="5514" w:type="dxa"/>
            <w:tcBorders>
              <w:top w:val="double" w:sz="4" w:space="0" w:color="auto"/>
              <w:bottom w:val="single" w:sz="4" w:space="0" w:color="auto"/>
            </w:tcBorders>
          </w:tcPr>
          <w:p w14:paraId="76C92F32" w14:textId="77777777" w:rsidR="003F6C39" w:rsidRPr="00D1013E" w:rsidRDefault="003F6C39" w:rsidP="003F6C39">
            <w:pPr>
              <w:autoSpaceDE w:val="0"/>
              <w:autoSpaceDN w:val="0"/>
              <w:adjustRightInd w:val="0"/>
              <w:jc w:val="both"/>
              <w:rPr>
                <w:rFonts w:eastAsia="Times New Roman"/>
                <w:sz w:val="20"/>
              </w:rPr>
            </w:pPr>
          </w:p>
        </w:tc>
        <w:tc>
          <w:tcPr>
            <w:tcW w:w="1890" w:type="dxa"/>
            <w:tcBorders>
              <w:top w:val="double" w:sz="4" w:space="0" w:color="auto"/>
              <w:bottom w:val="single" w:sz="4" w:space="0" w:color="auto"/>
            </w:tcBorders>
            <w:vAlign w:val="bottom"/>
          </w:tcPr>
          <w:p w14:paraId="333D28B0" w14:textId="7A65422F" w:rsidR="0007289E" w:rsidRDefault="009322E5" w:rsidP="003F6C39">
            <w:pPr>
              <w:ind w:left="-108"/>
              <w:jc w:val="right"/>
              <w:rPr>
                <w:b/>
                <w:bCs/>
                <w:sz w:val="18"/>
                <w:szCs w:val="18"/>
              </w:rPr>
            </w:pPr>
            <w:r>
              <w:rPr>
                <w:b/>
                <w:bCs/>
                <w:sz w:val="18"/>
                <w:szCs w:val="18"/>
              </w:rPr>
              <w:t>June 30</w:t>
            </w:r>
            <w:r w:rsidR="003F6C39" w:rsidRPr="000206BE">
              <w:rPr>
                <w:b/>
                <w:bCs/>
                <w:sz w:val="18"/>
                <w:szCs w:val="18"/>
              </w:rPr>
              <w:t xml:space="preserve">, </w:t>
            </w:r>
          </w:p>
          <w:p w14:paraId="1F248A53" w14:textId="6B9AF886" w:rsidR="003F6C39" w:rsidRPr="000206BE" w:rsidRDefault="003F6C39" w:rsidP="003F6C39">
            <w:pPr>
              <w:ind w:left="-108"/>
              <w:jc w:val="right"/>
              <w:rPr>
                <w:b/>
                <w:bCs/>
                <w:sz w:val="18"/>
                <w:szCs w:val="18"/>
              </w:rPr>
            </w:pPr>
            <w:r w:rsidRPr="000206BE">
              <w:rPr>
                <w:b/>
                <w:bCs/>
                <w:sz w:val="18"/>
                <w:szCs w:val="18"/>
              </w:rPr>
              <w:t>20</w:t>
            </w:r>
            <w:r>
              <w:rPr>
                <w:b/>
                <w:bCs/>
                <w:sz w:val="18"/>
                <w:szCs w:val="18"/>
              </w:rPr>
              <w:t>20</w:t>
            </w:r>
          </w:p>
          <w:p w14:paraId="57DB610D" w14:textId="77777777" w:rsidR="003F6C39" w:rsidRPr="00D1013E" w:rsidRDefault="003F6C39" w:rsidP="003F6C39">
            <w:pPr>
              <w:tabs>
                <w:tab w:val="left" w:pos="162"/>
                <w:tab w:val="decimal" w:pos="1314"/>
              </w:tabs>
              <w:autoSpaceDE w:val="0"/>
              <w:autoSpaceDN w:val="0"/>
              <w:adjustRightInd w:val="0"/>
              <w:jc w:val="right"/>
              <w:rPr>
                <w:rFonts w:eastAsia="Times New Roman"/>
                <w:sz w:val="20"/>
              </w:rPr>
            </w:pPr>
            <w:r w:rsidRPr="000206BE">
              <w:rPr>
                <w:b/>
                <w:bCs/>
                <w:sz w:val="18"/>
                <w:szCs w:val="18"/>
              </w:rPr>
              <w:t xml:space="preserve">$ </w:t>
            </w:r>
          </w:p>
        </w:tc>
        <w:tc>
          <w:tcPr>
            <w:tcW w:w="1620" w:type="dxa"/>
            <w:tcBorders>
              <w:top w:val="double" w:sz="4" w:space="0" w:color="auto"/>
              <w:bottom w:val="single" w:sz="4" w:space="0" w:color="auto"/>
            </w:tcBorders>
            <w:vAlign w:val="bottom"/>
          </w:tcPr>
          <w:p w14:paraId="02395A51" w14:textId="77777777" w:rsidR="0007289E" w:rsidRDefault="003F6C39" w:rsidP="003F6C39">
            <w:pPr>
              <w:ind w:left="-108"/>
              <w:jc w:val="right"/>
              <w:rPr>
                <w:sz w:val="18"/>
                <w:szCs w:val="18"/>
              </w:rPr>
            </w:pPr>
            <w:r w:rsidRPr="003F6C39">
              <w:rPr>
                <w:sz w:val="18"/>
                <w:szCs w:val="18"/>
              </w:rPr>
              <w:t xml:space="preserve">March 31, </w:t>
            </w:r>
          </w:p>
          <w:p w14:paraId="454ADF8B" w14:textId="1E1E4BDA" w:rsidR="003F6C39" w:rsidRPr="003F6C39" w:rsidRDefault="003F6C39" w:rsidP="003F6C39">
            <w:pPr>
              <w:ind w:left="-108"/>
              <w:jc w:val="right"/>
              <w:rPr>
                <w:sz w:val="18"/>
                <w:szCs w:val="18"/>
              </w:rPr>
            </w:pPr>
            <w:r w:rsidRPr="003F6C39">
              <w:rPr>
                <w:sz w:val="18"/>
                <w:szCs w:val="18"/>
              </w:rPr>
              <w:t>20</w:t>
            </w:r>
            <w:r w:rsidR="00C25FCF">
              <w:rPr>
                <w:sz w:val="18"/>
                <w:szCs w:val="18"/>
              </w:rPr>
              <w:t>20</w:t>
            </w:r>
          </w:p>
          <w:p w14:paraId="74307944" w14:textId="49096C45" w:rsidR="003F6C39" w:rsidRPr="003F6C39" w:rsidRDefault="003F6C39" w:rsidP="003F6C39">
            <w:pPr>
              <w:tabs>
                <w:tab w:val="left" w:pos="162"/>
                <w:tab w:val="decimal" w:pos="1314"/>
              </w:tabs>
              <w:autoSpaceDE w:val="0"/>
              <w:autoSpaceDN w:val="0"/>
              <w:adjustRightInd w:val="0"/>
              <w:jc w:val="right"/>
              <w:rPr>
                <w:rFonts w:eastAsia="Times New Roman"/>
                <w:sz w:val="20"/>
              </w:rPr>
            </w:pPr>
            <w:r w:rsidRPr="003F6C39">
              <w:rPr>
                <w:sz w:val="18"/>
                <w:szCs w:val="18"/>
              </w:rPr>
              <w:t xml:space="preserve">$ </w:t>
            </w:r>
          </w:p>
        </w:tc>
      </w:tr>
      <w:tr w:rsidR="0039043D" w:rsidRPr="003F6C39" w14:paraId="2D5DE52C" w14:textId="77777777" w:rsidTr="0007289E">
        <w:trPr>
          <w:trHeight w:val="15"/>
        </w:trPr>
        <w:tc>
          <w:tcPr>
            <w:tcW w:w="5514" w:type="dxa"/>
            <w:tcBorders>
              <w:top w:val="single" w:sz="4" w:space="0" w:color="auto"/>
            </w:tcBorders>
          </w:tcPr>
          <w:p w14:paraId="29EFD758" w14:textId="7B636A4F" w:rsidR="0039043D" w:rsidRPr="00D1013E" w:rsidRDefault="0039043D" w:rsidP="0039043D">
            <w:pPr>
              <w:tabs>
                <w:tab w:val="left" w:pos="2496"/>
              </w:tabs>
              <w:autoSpaceDE w:val="0"/>
              <w:autoSpaceDN w:val="0"/>
              <w:adjustRightInd w:val="0"/>
              <w:rPr>
                <w:rFonts w:eastAsia="Times New Roman"/>
                <w:sz w:val="20"/>
              </w:rPr>
            </w:pPr>
            <w:r w:rsidRPr="00D1013E">
              <w:rPr>
                <w:rFonts w:eastAsia="Times New Roman"/>
                <w:sz w:val="20"/>
              </w:rPr>
              <w:t xml:space="preserve">Balance, beginning of the </w:t>
            </w:r>
            <w:r w:rsidR="005027F5">
              <w:rPr>
                <w:rFonts w:eastAsia="Times New Roman"/>
                <w:sz w:val="20"/>
              </w:rPr>
              <w:t>period</w:t>
            </w:r>
          </w:p>
        </w:tc>
        <w:tc>
          <w:tcPr>
            <w:tcW w:w="1890" w:type="dxa"/>
            <w:tcBorders>
              <w:top w:val="single" w:sz="4" w:space="0" w:color="auto"/>
            </w:tcBorders>
            <w:shd w:val="clear" w:color="auto" w:fill="auto"/>
            <w:vAlign w:val="bottom"/>
          </w:tcPr>
          <w:p w14:paraId="71250E8E" w14:textId="0ED6BEA5" w:rsidR="0039043D" w:rsidRPr="00D1013E" w:rsidRDefault="009322E5" w:rsidP="0039043D">
            <w:pPr>
              <w:tabs>
                <w:tab w:val="left" w:pos="162"/>
                <w:tab w:val="decimal" w:pos="1314"/>
              </w:tabs>
              <w:autoSpaceDE w:val="0"/>
              <w:autoSpaceDN w:val="0"/>
              <w:adjustRightInd w:val="0"/>
              <w:jc w:val="right"/>
              <w:rPr>
                <w:rFonts w:eastAsia="Times New Roman"/>
                <w:sz w:val="20"/>
              </w:rPr>
            </w:pPr>
            <w:r>
              <w:rPr>
                <w:rFonts w:eastAsia="Times New Roman"/>
                <w:sz w:val="20"/>
              </w:rPr>
              <w:t>260,705</w:t>
            </w:r>
          </w:p>
        </w:tc>
        <w:tc>
          <w:tcPr>
            <w:tcW w:w="1620" w:type="dxa"/>
            <w:tcBorders>
              <w:top w:val="single" w:sz="4" w:space="0" w:color="auto"/>
            </w:tcBorders>
            <w:vAlign w:val="bottom"/>
          </w:tcPr>
          <w:p w14:paraId="35AC4849" w14:textId="493B2B9A" w:rsidR="0039043D" w:rsidRPr="003F6C39" w:rsidRDefault="00C25FCF" w:rsidP="0039043D">
            <w:pPr>
              <w:tabs>
                <w:tab w:val="left" w:pos="162"/>
                <w:tab w:val="decimal" w:pos="1314"/>
              </w:tabs>
              <w:autoSpaceDE w:val="0"/>
              <w:autoSpaceDN w:val="0"/>
              <w:adjustRightInd w:val="0"/>
              <w:jc w:val="right"/>
              <w:rPr>
                <w:rFonts w:eastAsia="Times New Roman"/>
                <w:sz w:val="20"/>
              </w:rPr>
            </w:pPr>
            <w:r>
              <w:rPr>
                <w:rFonts w:eastAsia="Times New Roman"/>
                <w:sz w:val="20"/>
              </w:rPr>
              <w:t>743,601</w:t>
            </w:r>
          </w:p>
        </w:tc>
      </w:tr>
      <w:tr w:rsidR="0039043D" w:rsidRPr="003F6C39" w14:paraId="01761EDE" w14:textId="77777777" w:rsidTr="0007289E">
        <w:trPr>
          <w:trHeight w:val="15"/>
        </w:trPr>
        <w:tc>
          <w:tcPr>
            <w:tcW w:w="5514" w:type="dxa"/>
          </w:tcPr>
          <w:p w14:paraId="062D9BDC" w14:textId="3B1A37CD" w:rsidR="0039043D" w:rsidRPr="00D1013E" w:rsidRDefault="0039043D" w:rsidP="0039043D">
            <w:pPr>
              <w:tabs>
                <w:tab w:val="left" w:pos="3447"/>
              </w:tabs>
              <w:autoSpaceDE w:val="0"/>
              <w:autoSpaceDN w:val="0"/>
              <w:adjustRightInd w:val="0"/>
              <w:jc w:val="both"/>
              <w:rPr>
                <w:rFonts w:eastAsia="Times New Roman"/>
                <w:sz w:val="20"/>
              </w:rPr>
            </w:pPr>
            <w:r w:rsidRPr="00D1013E">
              <w:rPr>
                <w:rFonts w:eastAsia="Times New Roman"/>
                <w:sz w:val="20"/>
              </w:rPr>
              <w:t xml:space="preserve">Additions (Note </w:t>
            </w:r>
            <w:r w:rsidR="00C27E08">
              <w:rPr>
                <w:rFonts w:eastAsia="Times New Roman"/>
                <w:sz w:val="20"/>
              </w:rPr>
              <w:t>7</w:t>
            </w:r>
            <w:r w:rsidRPr="00D1013E">
              <w:rPr>
                <w:rFonts w:eastAsia="Times New Roman"/>
                <w:sz w:val="20"/>
              </w:rPr>
              <w:t xml:space="preserve">) </w:t>
            </w:r>
          </w:p>
        </w:tc>
        <w:tc>
          <w:tcPr>
            <w:tcW w:w="1890" w:type="dxa"/>
            <w:shd w:val="clear" w:color="auto" w:fill="auto"/>
            <w:vAlign w:val="bottom"/>
          </w:tcPr>
          <w:p w14:paraId="1EC0F65B" w14:textId="43EAFFBA" w:rsidR="0039043D" w:rsidRPr="00D1013E" w:rsidRDefault="0039043D" w:rsidP="0039043D">
            <w:pPr>
              <w:tabs>
                <w:tab w:val="left" w:pos="162"/>
                <w:tab w:val="decimal" w:pos="1314"/>
              </w:tabs>
              <w:autoSpaceDE w:val="0"/>
              <w:autoSpaceDN w:val="0"/>
              <w:adjustRightInd w:val="0"/>
              <w:jc w:val="right"/>
              <w:rPr>
                <w:rFonts w:eastAsia="Times New Roman"/>
                <w:sz w:val="20"/>
              </w:rPr>
            </w:pPr>
            <w:r>
              <w:rPr>
                <w:rFonts w:eastAsia="Times New Roman"/>
                <w:sz w:val="20"/>
              </w:rPr>
              <w:t>-</w:t>
            </w:r>
          </w:p>
        </w:tc>
        <w:tc>
          <w:tcPr>
            <w:tcW w:w="1620" w:type="dxa"/>
            <w:vAlign w:val="bottom"/>
          </w:tcPr>
          <w:p w14:paraId="6BB7B3B5" w14:textId="1051C46B" w:rsidR="0039043D" w:rsidRPr="003F6C39" w:rsidRDefault="00C25FCF" w:rsidP="0039043D">
            <w:pPr>
              <w:tabs>
                <w:tab w:val="left" w:pos="162"/>
                <w:tab w:val="decimal" w:pos="1314"/>
              </w:tabs>
              <w:autoSpaceDE w:val="0"/>
              <w:autoSpaceDN w:val="0"/>
              <w:adjustRightInd w:val="0"/>
              <w:jc w:val="right"/>
              <w:rPr>
                <w:rFonts w:eastAsia="Times New Roman"/>
                <w:sz w:val="20"/>
              </w:rPr>
            </w:pPr>
            <w:r>
              <w:rPr>
                <w:rFonts w:eastAsia="Times New Roman"/>
                <w:sz w:val="20"/>
              </w:rPr>
              <w:t>-</w:t>
            </w:r>
          </w:p>
        </w:tc>
      </w:tr>
      <w:tr w:rsidR="0039043D" w:rsidRPr="003F6C39" w14:paraId="65C16037" w14:textId="77777777" w:rsidTr="0007289E">
        <w:trPr>
          <w:trHeight w:val="15"/>
        </w:trPr>
        <w:tc>
          <w:tcPr>
            <w:tcW w:w="5514" w:type="dxa"/>
          </w:tcPr>
          <w:p w14:paraId="2B8AE4B8" w14:textId="77777777" w:rsidR="0039043D" w:rsidRPr="00D1013E" w:rsidRDefault="0039043D" w:rsidP="0039043D">
            <w:pPr>
              <w:tabs>
                <w:tab w:val="left" w:pos="3447"/>
              </w:tabs>
              <w:autoSpaceDE w:val="0"/>
              <w:autoSpaceDN w:val="0"/>
              <w:adjustRightInd w:val="0"/>
              <w:jc w:val="both"/>
              <w:rPr>
                <w:sz w:val="20"/>
              </w:rPr>
            </w:pPr>
            <w:r>
              <w:rPr>
                <w:sz w:val="20"/>
              </w:rPr>
              <w:t>Reversal</w:t>
            </w:r>
          </w:p>
        </w:tc>
        <w:tc>
          <w:tcPr>
            <w:tcW w:w="1890" w:type="dxa"/>
            <w:shd w:val="clear" w:color="auto" w:fill="auto"/>
            <w:vAlign w:val="bottom"/>
          </w:tcPr>
          <w:p w14:paraId="0A7537EC" w14:textId="4B60F616" w:rsidR="0039043D" w:rsidRDefault="0039043D" w:rsidP="0039043D">
            <w:pPr>
              <w:tabs>
                <w:tab w:val="left" w:pos="162"/>
                <w:tab w:val="decimal" w:pos="1314"/>
              </w:tabs>
              <w:autoSpaceDE w:val="0"/>
              <w:autoSpaceDN w:val="0"/>
              <w:adjustRightInd w:val="0"/>
              <w:jc w:val="right"/>
              <w:rPr>
                <w:sz w:val="20"/>
              </w:rPr>
            </w:pPr>
            <w:r>
              <w:rPr>
                <w:sz w:val="20"/>
              </w:rPr>
              <w:t>(</w:t>
            </w:r>
            <w:r w:rsidR="005027F5">
              <w:rPr>
                <w:sz w:val="20"/>
              </w:rPr>
              <w:t>31,201</w:t>
            </w:r>
            <w:r>
              <w:rPr>
                <w:sz w:val="20"/>
              </w:rPr>
              <w:t>)</w:t>
            </w:r>
          </w:p>
        </w:tc>
        <w:tc>
          <w:tcPr>
            <w:tcW w:w="1620" w:type="dxa"/>
            <w:vAlign w:val="bottom"/>
          </w:tcPr>
          <w:p w14:paraId="4DEF05E1" w14:textId="5B63E318" w:rsidR="0039043D" w:rsidRPr="003F6C39" w:rsidRDefault="0039043D" w:rsidP="0039043D">
            <w:pPr>
              <w:tabs>
                <w:tab w:val="left" w:pos="162"/>
                <w:tab w:val="decimal" w:pos="1314"/>
              </w:tabs>
              <w:autoSpaceDE w:val="0"/>
              <w:autoSpaceDN w:val="0"/>
              <w:adjustRightInd w:val="0"/>
              <w:jc w:val="right"/>
              <w:rPr>
                <w:sz w:val="20"/>
              </w:rPr>
            </w:pPr>
            <w:r w:rsidRPr="003F6C39">
              <w:rPr>
                <w:sz w:val="20"/>
              </w:rPr>
              <w:t>(</w:t>
            </w:r>
            <w:r w:rsidR="00C25FCF">
              <w:rPr>
                <w:sz w:val="20"/>
              </w:rPr>
              <w:t>482,896</w:t>
            </w:r>
            <w:r w:rsidRPr="003F6C39">
              <w:rPr>
                <w:sz w:val="20"/>
              </w:rPr>
              <w:t>)</w:t>
            </w:r>
          </w:p>
        </w:tc>
      </w:tr>
      <w:tr w:rsidR="003F6C39" w:rsidRPr="003F6C39" w14:paraId="440F2765" w14:textId="77777777" w:rsidTr="0007289E">
        <w:trPr>
          <w:trHeight w:val="15"/>
        </w:trPr>
        <w:tc>
          <w:tcPr>
            <w:tcW w:w="5514" w:type="dxa"/>
            <w:tcBorders>
              <w:top w:val="single" w:sz="4" w:space="0" w:color="auto"/>
              <w:bottom w:val="double" w:sz="4" w:space="0" w:color="auto"/>
            </w:tcBorders>
          </w:tcPr>
          <w:p w14:paraId="19B53B12" w14:textId="0D613DA0" w:rsidR="003F6C39" w:rsidRPr="00D1013E" w:rsidRDefault="003F6C39" w:rsidP="003F6C39">
            <w:pPr>
              <w:autoSpaceDE w:val="0"/>
              <w:autoSpaceDN w:val="0"/>
              <w:adjustRightInd w:val="0"/>
              <w:jc w:val="both"/>
              <w:rPr>
                <w:rFonts w:eastAsia="Times New Roman"/>
                <w:sz w:val="20"/>
              </w:rPr>
            </w:pPr>
            <w:r w:rsidRPr="00D1013E">
              <w:rPr>
                <w:rFonts w:eastAsia="Times New Roman"/>
                <w:sz w:val="20"/>
              </w:rPr>
              <w:t xml:space="preserve">Balance, end of the </w:t>
            </w:r>
            <w:r w:rsidR="005027F5">
              <w:rPr>
                <w:rFonts w:eastAsia="Times New Roman"/>
                <w:sz w:val="20"/>
              </w:rPr>
              <w:t>period</w:t>
            </w:r>
          </w:p>
        </w:tc>
        <w:tc>
          <w:tcPr>
            <w:tcW w:w="1890" w:type="dxa"/>
            <w:tcBorders>
              <w:top w:val="single" w:sz="4" w:space="0" w:color="auto"/>
              <w:bottom w:val="double" w:sz="4" w:space="0" w:color="auto"/>
            </w:tcBorders>
            <w:shd w:val="clear" w:color="auto" w:fill="auto"/>
            <w:vAlign w:val="bottom"/>
          </w:tcPr>
          <w:p w14:paraId="58A7DB9B" w14:textId="3E40818B" w:rsidR="003F6C39" w:rsidRPr="00D1013E" w:rsidRDefault="005027F5" w:rsidP="003F6C39">
            <w:pPr>
              <w:tabs>
                <w:tab w:val="left" w:pos="162"/>
                <w:tab w:val="decimal" w:pos="1314"/>
              </w:tabs>
              <w:autoSpaceDE w:val="0"/>
              <w:autoSpaceDN w:val="0"/>
              <w:adjustRightInd w:val="0"/>
              <w:jc w:val="right"/>
              <w:rPr>
                <w:rFonts w:eastAsia="Times New Roman"/>
                <w:sz w:val="20"/>
              </w:rPr>
            </w:pPr>
            <w:r>
              <w:rPr>
                <w:rFonts w:eastAsia="Times New Roman"/>
                <w:sz w:val="20"/>
              </w:rPr>
              <w:t>229,504</w:t>
            </w:r>
          </w:p>
        </w:tc>
        <w:tc>
          <w:tcPr>
            <w:tcW w:w="1620" w:type="dxa"/>
            <w:tcBorders>
              <w:top w:val="single" w:sz="4" w:space="0" w:color="auto"/>
              <w:bottom w:val="double" w:sz="4" w:space="0" w:color="auto"/>
            </w:tcBorders>
            <w:vAlign w:val="bottom"/>
          </w:tcPr>
          <w:p w14:paraId="3AA0C0BF" w14:textId="28B21411" w:rsidR="003F6C39" w:rsidRPr="003F6C39" w:rsidRDefault="00C25FCF" w:rsidP="003F6C39">
            <w:pPr>
              <w:tabs>
                <w:tab w:val="left" w:pos="162"/>
                <w:tab w:val="decimal" w:pos="1314"/>
              </w:tabs>
              <w:autoSpaceDE w:val="0"/>
              <w:autoSpaceDN w:val="0"/>
              <w:adjustRightInd w:val="0"/>
              <w:jc w:val="right"/>
              <w:rPr>
                <w:rFonts w:eastAsia="Times New Roman"/>
                <w:sz w:val="20"/>
              </w:rPr>
            </w:pPr>
            <w:r>
              <w:rPr>
                <w:rFonts w:eastAsia="Times New Roman"/>
                <w:sz w:val="20"/>
              </w:rPr>
              <w:t>260,705</w:t>
            </w:r>
          </w:p>
        </w:tc>
      </w:tr>
    </w:tbl>
    <w:p w14:paraId="25381817" w14:textId="374653D5" w:rsidR="004F36BF" w:rsidRDefault="004F36BF" w:rsidP="009C530E">
      <w:pPr>
        <w:autoSpaceDE w:val="0"/>
        <w:autoSpaceDN w:val="0"/>
        <w:adjustRightInd w:val="0"/>
        <w:spacing w:before="120"/>
        <w:ind w:left="425" w:hanging="425"/>
        <w:jc w:val="both"/>
        <w:rPr>
          <w:b/>
          <w:spacing w:val="-2"/>
          <w:sz w:val="20"/>
        </w:rPr>
      </w:pPr>
      <w:r w:rsidRPr="0007289E">
        <w:rPr>
          <w:b/>
          <w:spacing w:val="-2"/>
          <w:sz w:val="20"/>
        </w:rPr>
        <w:t>1</w:t>
      </w:r>
      <w:r w:rsidR="00EA187B">
        <w:rPr>
          <w:b/>
          <w:spacing w:val="-2"/>
          <w:sz w:val="20"/>
        </w:rPr>
        <w:t>2</w:t>
      </w:r>
      <w:r w:rsidRPr="0007289E">
        <w:rPr>
          <w:b/>
          <w:spacing w:val="-2"/>
          <w:sz w:val="20"/>
        </w:rPr>
        <w:t>.</w:t>
      </w:r>
      <w:r w:rsidRPr="0007289E">
        <w:rPr>
          <w:b/>
          <w:spacing w:val="-2"/>
          <w:sz w:val="20"/>
        </w:rPr>
        <w:tab/>
        <w:t>Management of capital</w:t>
      </w:r>
    </w:p>
    <w:p w14:paraId="6CAF9B51" w14:textId="77777777" w:rsidR="0007289E" w:rsidRPr="0007289E" w:rsidRDefault="0007289E" w:rsidP="0007289E">
      <w:pPr>
        <w:autoSpaceDE w:val="0"/>
        <w:autoSpaceDN w:val="0"/>
        <w:adjustRightInd w:val="0"/>
        <w:ind w:left="425" w:hanging="425"/>
        <w:jc w:val="both"/>
        <w:rPr>
          <w:b/>
          <w:spacing w:val="-2"/>
          <w:sz w:val="20"/>
        </w:rPr>
      </w:pPr>
    </w:p>
    <w:p w14:paraId="7400F6A1" w14:textId="17BC0757" w:rsidR="004F36BF" w:rsidRPr="000206BE" w:rsidRDefault="004F36BF" w:rsidP="0007289E">
      <w:pPr>
        <w:widowControl/>
        <w:autoSpaceDE w:val="0"/>
        <w:autoSpaceDN w:val="0"/>
        <w:adjustRightInd w:val="0"/>
        <w:spacing w:after="120"/>
        <w:ind w:left="423"/>
        <w:jc w:val="both"/>
        <w:rPr>
          <w:sz w:val="20"/>
        </w:rPr>
      </w:pPr>
      <w:r w:rsidRPr="000206BE">
        <w:rPr>
          <w:sz w:val="20"/>
        </w:rPr>
        <w:t xml:space="preserve">The Company’s objectives when managing capital are to safeguard the Company’s ability to continue as a going concern in order to pursue suitable business opportunities and to maintain a flexible capital structure for its projects for the benefit of its stakeholders. As the Company is in the exploration stage and has not achieved commercial operations from its projects, its principal source of funds is from the issuance of common shares. Further information relating to liquidity risk is disclosed in note </w:t>
      </w:r>
      <w:r w:rsidR="00D420DC">
        <w:rPr>
          <w:sz w:val="20"/>
        </w:rPr>
        <w:t>9</w:t>
      </w:r>
      <w:r w:rsidRPr="000206BE">
        <w:rPr>
          <w:sz w:val="20"/>
        </w:rPr>
        <w:t xml:space="preserve">. </w:t>
      </w:r>
    </w:p>
    <w:p w14:paraId="13031F68" w14:textId="23725918" w:rsidR="008B7870" w:rsidRDefault="004F36BF" w:rsidP="0007289E">
      <w:pPr>
        <w:widowControl/>
        <w:autoSpaceDE w:val="0"/>
        <w:autoSpaceDN w:val="0"/>
        <w:adjustRightInd w:val="0"/>
        <w:spacing w:before="120" w:after="120"/>
        <w:ind w:left="423"/>
        <w:jc w:val="both"/>
        <w:rPr>
          <w:sz w:val="20"/>
        </w:rPr>
      </w:pPr>
      <w:r w:rsidRPr="000206BE">
        <w:rPr>
          <w:sz w:val="20"/>
        </w:rPr>
        <w:t xml:space="preserve">In the management of capital, the Company includes the components of Shareholders’ equity. The Company manages the capital structure and makes adjustments to it in light of changes in economic conditions and the risk characteristics of the underlying assets. To maintain or adjust the capital structure, the Company may attempt to issue new shares, enter into joint venture property arrangements, acquire or dispose of assets or adjust the amount of cash and investments. </w:t>
      </w:r>
    </w:p>
    <w:p w14:paraId="4E3EE3FF" w14:textId="089B04C6" w:rsidR="004F36BF" w:rsidRDefault="004F36BF" w:rsidP="005F5927">
      <w:pPr>
        <w:spacing w:after="120"/>
        <w:ind w:left="425"/>
        <w:jc w:val="both"/>
        <w:rPr>
          <w:sz w:val="20"/>
        </w:rPr>
      </w:pPr>
      <w:r w:rsidRPr="000206BE">
        <w:rPr>
          <w:sz w:val="20"/>
        </w:rPr>
        <w:t>In order to facilitate the management of its capital requirements, the Company prepares monthly and annual expenditure budgets that are updated as necessary depending on various factors, including successful capital deployment and general industry conditions. The annual and updated budgets are approved by the Board of Directors. The Company’s investment policy is to invest its cash in highly liquid short-term interest-bearing investments with maturities of three months or less from the original date of acquisition, selected with regards to the expected timing of expenditures from continuing operations. The Company is uncertain as to whether its current capital resources will be sufficient to carry its exploration and development plans and operations through its current operating period and, accordingly, management is reviewing the timing and scope of current exploration plans and is also pursuing other financing alternatives to fund the Company’s operations.</w:t>
      </w:r>
      <w:r w:rsidR="004D47E3">
        <w:rPr>
          <w:sz w:val="20"/>
        </w:rPr>
        <w:t xml:space="preserve"> </w:t>
      </w:r>
      <w:r w:rsidRPr="000206BE">
        <w:rPr>
          <w:sz w:val="20"/>
        </w:rPr>
        <w:t>The Company is not</w:t>
      </w:r>
      <w:r w:rsidR="00DF6083" w:rsidRPr="000206BE">
        <w:rPr>
          <w:sz w:val="20"/>
        </w:rPr>
        <w:t xml:space="preserve"> </w:t>
      </w:r>
      <w:r w:rsidRPr="000206BE">
        <w:rPr>
          <w:sz w:val="20"/>
        </w:rPr>
        <w:t>subject to externally imposed capital requirements. There are no changes in the Company’s approach to capital management</w:t>
      </w:r>
      <w:r w:rsidR="001E0CD1">
        <w:rPr>
          <w:sz w:val="20"/>
        </w:rPr>
        <w:t>. The Company is not subject to restrictions.</w:t>
      </w:r>
    </w:p>
    <w:p w14:paraId="37DEAB50" w14:textId="5EE3E8B4" w:rsidR="00E27D83" w:rsidRDefault="00E27D83" w:rsidP="000A0286">
      <w:pPr>
        <w:autoSpaceDE w:val="0"/>
        <w:autoSpaceDN w:val="0"/>
        <w:adjustRightInd w:val="0"/>
        <w:ind w:left="425" w:hanging="425"/>
        <w:jc w:val="both"/>
        <w:rPr>
          <w:b/>
          <w:spacing w:val="-2"/>
          <w:sz w:val="20"/>
        </w:rPr>
      </w:pPr>
      <w:r w:rsidRPr="0007289E">
        <w:rPr>
          <w:b/>
          <w:spacing w:val="-2"/>
          <w:sz w:val="20"/>
        </w:rPr>
        <w:t>1</w:t>
      </w:r>
      <w:r w:rsidR="00EA187B">
        <w:rPr>
          <w:b/>
          <w:spacing w:val="-2"/>
          <w:sz w:val="20"/>
        </w:rPr>
        <w:t>3</w:t>
      </w:r>
      <w:r w:rsidRPr="00FA6B7B">
        <w:rPr>
          <w:b/>
          <w:spacing w:val="-2"/>
          <w:sz w:val="20"/>
        </w:rPr>
        <w:t>.</w:t>
      </w:r>
      <w:r w:rsidRPr="00FA6B7B">
        <w:rPr>
          <w:b/>
          <w:spacing w:val="-2"/>
          <w:sz w:val="20"/>
        </w:rPr>
        <w:tab/>
      </w:r>
      <w:r w:rsidR="00FA6B7B" w:rsidRPr="00FA6B7B">
        <w:rPr>
          <w:b/>
          <w:spacing w:val="-2"/>
          <w:sz w:val="20"/>
        </w:rPr>
        <w:t>Investments</w:t>
      </w:r>
    </w:p>
    <w:p w14:paraId="4C69F987" w14:textId="77777777" w:rsidR="000A0286" w:rsidRDefault="000A0286" w:rsidP="000A0286">
      <w:pPr>
        <w:autoSpaceDE w:val="0"/>
        <w:autoSpaceDN w:val="0"/>
        <w:adjustRightInd w:val="0"/>
        <w:ind w:left="425" w:hanging="425"/>
        <w:jc w:val="both"/>
        <w:rPr>
          <w:b/>
          <w:spacing w:val="-2"/>
          <w:sz w:val="20"/>
        </w:rPr>
      </w:pPr>
    </w:p>
    <w:p w14:paraId="265C879C" w14:textId="0D5B7A5A" w:rsidR="009D5122" w:rsidRDefault="009D5122" w:rsidP="009D5122">
      <w:pPr>
        <w:spacing w:after="120"/>
        <w:ind w:left="425"/>
        <w:jc w:val="both"/>
        <w:rPr>
          <w:sz w:val="20"/>
        </w:rPr>
      </w:pPr>
      <w:r w:rsidRPr="009D5122">
        <w:rPr>
          <w:sz w:val="20"/>
        </w:rPr>
        <w:t>During the year ended March 31, 2020, the Company purchased 17,600,000 common shares and 13,100,000 warrants from Osprey Gold Development Ltd (TSXV:</w:t>
      </w:r>
      <w:r w:rsidR="00476E8D">
        <w:rPr>
          <w:sz w:val="20"/>
        </w:rPr>
        <w:t xml:space="preserve"> </w:t>
      </w:r>
      <w:r w:rsidRPr="009D5122">
        <w:rPr>
          <w:sz w:val="20"/>
        </w:rPr>
        <w:t>OS)</w:t>
      </w:r>
      <w:r w:rsidR="00A0744D">
        <w:rPr>
          <w:sz w:val="20"/>
        </w:rPr>
        <w:t>, “Osprey”,</w:t>
      </w:r>
      <w:r w:rsidRPr="009D5122">
        <w:rPr>
          <w:sz w:val="20"/>
        </w:rPr>
        <w:t xml:space="preserve"> for $862,910.</w:t>
      </w:r>
      <w:r>
        <w:rPr>
          <w:sz w:val="20"/>
        </w:rPr>
        <w:t xml:space="preserve"> During the year ended March 31, 2020, the Company sold 11,177,000 common shares for gross proceeds of $764,271 and recognized a realized gain on sale of marketable securities of $216,274. </w:t>
      </w:r>
      <w:r w:rsidR="00A07CA2">
        <w:rPr>
          <w:sz w:val="20"/>
        </w:rPr>
        <w:t>During the period ended June 30, 2020, the Company sold 3,177,000</w:t>
      </w:r>
      <w:r w:rsidR="00592E22">
        <w:rPr>
          <w:sz w:val="20"/>
        </w:rPr>
        <w:t xml:space="preserve"> common shares </w:t>
      </w:r>
      <w:bookmarkStart w:id="16" w:name="_Hlk49252428"/>
      <w:r w:rsidR="00592E22">
        <w:rPr>
          <w:sz w:val="20"/>
        </w:rPr>
        <w:t>for gross proceeds of $192,443 and recognized a gain on sale of $49,478.</w:t>
      </w:r>
      <w:bookmarkEnd w:id="16"/>
      <w:r w:rsidR="00A07CA2">
        <w:rPr>
          <w:sz w:val="20"/>
        </w:rPr>
        <w:t xml:space="preserve"> </w:t>
      </w:r>
      <w:r>
        <w:rPr>
          <w:sz w:val="20"/>
        </w:rPr>
        <w:t xml:space="preserve">As at </w:t>
      </w:r>
      <w:r w:rsidR="0019135C">
        <w:rPr>
          <w:sz w:val="20"/>
        </w:rPr>
        <w:t>June 30</w:t>
      </w:r>
      <w:r>
        <w:rPr>
          <w:sz w:val="20"/>
        </w:rPr>
        <w:t xml:space="preserve">, 2020, the Company holds </w:t>
      </w:r>
      <w:r w:rsidR="00592E22">
        <w:rPr>
          <w:sz w:val="20"/>
        </w:rPr>
        <w:t>3,246</w:t>
      </w:r>
      <w:r>
        <w:rPr>
          <w:sz w:val="20"/>
        </w:rPr>
        <w:t>,000 common shares with a fair value of $</w:t>
      </w:r>
      <w:r w:rsidR="00592E22">
        <w:rPr>
          <w:sz w:val="20"/>
        </w:rPr>
        <w:t>194,760.</w:t>
      </w:r>
      <w:r w:rsidR="007E6B8C">
        <w:rPr>
          <w:sz w:val="20"/>
        </w:rPr>
        <w:t xml:space="preserve"> </w:t>
      </w:r>
      <w:r>
        <w:rPr>
          <w:sz w:val="20"/>
        </w:rPr>
        <w:t xml:space="preserve">As at </w:t>
      </w:r>
      <w:r w:rsidR="009C0A13">
        <w:rPr>
          <w:sz w:val="20"/>
        </w:rPr>
        <w:t>June 30, 2020</w:t>
      </w:r>
      <w:r>
        <w:rPr>
          <w:sz w:val="20"/>
        </w:rPr>
        <w:t xml:space="preserve">, the Company recognized an </w:t>
      </w:r>
      <w:r w:rsidR="009C0A13">
        <w:rPr>
          <w:sz w:val="20"/>
        </w:rPr>
        <w:t>un</w:t>
      </w:r>
      <w:r>
        <w:rPr>
          <w:sz w:val="20"/>
        </w:rPr>
        <w:t xml:space="preserve">realized </w:t>
      </w:r>
      <w:r w:rsidR="009C0A13">
        <w:rPr>
          <w:sz w:val="20"/>
        </w:rPr>
        <w:t>gain</w:t>
      </w:r>
      <w:r>
        <w:rPr>
          <w:sz w:val="20"/>
        </w:rPr>
        <w:t xml:space="preserve"> on marketable security of $</w:t>
      </w:r>
      <w:r w:rsidR="00592E22">
        <w:rPr>
          <w:sz w:val="20"/>
        </w:rPr>
        <w:t>48,690</w:t>
      </w:r>
      <w:r>
        <w:rPr>
          <w:sz w:val="20"/>
        </w:rPr>
        <w:t>.</w:t>
      </w:r>
    </w:p>
    <w:p w14:paraId="5CA8C33E" w14:textId="0B0B2451" w:rsidR="00D87ABE" w:rsidRPr="00884007" w:rsidRDefault="00592E22" w:rsidP="00D87ABE">
      <w:pPr>
        <w:spacing w:after="120"/>
        <w:ind w:left="425"/>
        <w:jc w:val="both"/>
        <w:rPr>
          <w:sz w:val="20"/>
        </w:rPr>
      </w:pPr>
      <w:r>
        <w:rPr>
          <w:sz w:val="20"/>
        </w:rPr>
        <w:t xml:space="preserve">The Company initially recorded the </w:t>
      </w:r>
      <w:r w:rsidRPr="00473E97">
        <w:rPr>
          <w:sz w:val="20"/>
        </w:rPr>
        <w:t>13,100,000 share purchase warrants</w:t>
      </w:r>
      <w:r>
        <w:rPr>
          <w:sz w:val="20"/>
        </w:rPr>
        <w:t xml:space="preserve"> (“Osprey Warrants”) at a $nil fair value. </w:t>
      </w:r>
      <w:r w:rsidR="00D87ABE" w:rsidRPr="00D05A04">
        <w:rPr>
          <w:sz w:val="20"/>
        </w:rPr>
        <w:t xml:space="preserve">During the period ended June 30, </w:t>
      </w:r>
      <w:r w:rsidR="00822441" w:rsidRPr="00D05A04">
        <w:rPr>
          <w:sz w:val="20"/>
        </w:rPr>
        <w:t>2020, the</w:t>
      </w:r>
      <w:r w:rsidR="00D87ABE" w:rsidRPr="00D05A04">
        <w:rPr>
          <w:sz w:val="20"/>
        </w:rPr>
        <w:t xml:space="preserve"> Company disposed of 13,100,000 Osprey Warrants through private transactions with two arm’s-length parties. As a result of the dispositions, the Company beneficially owns or controls </w:t>
      </w:r>
      <w:r w:rsidR="00D05A04" w:rsidRPr="00D05A04">
        <w:rPr>
          <w:sz w:val="20"/>
        </w:rPr>
        <w:t>3</w:t>
      </w:r>
      <w:r w:rsidR="00D87ABE" w:rsidRPr="00D05A04">
        <w:rPr>
          <w:sz w:val="20"/>
        </w:rPr>
        <w:t>,</w:t>
      </w:r>
      <w:r w:rsidR="00D05A04" w:rsidRPr="00D05A04">
        <w:rPr>
          <w:sz w:val="20"/>
        </w:rPr>
        <w:t>246</w:t>
      </w:r>
      <w:r w:rsidR="00D87ABE" w:rsidRPr="00D05A04">
        <w:rPr>
          <w:sz w:val="20"/>
        </w:rPr>
        <w:t xml:space="preserve">,000 shares and no warrants, representing approximately </w:t>
      </w:r>
      <w:r w:rsidR="00D05A04" w:rsidRPr="00D05A04">
        <w:rPr>
          <w:sz w:val="20"/>
        </w:rPr>
        <w:t>4.43</w:t>
      </w:r>
      <w:r w:rsidR="00D87ABE" w:rsidRPr="00D05A04">
        <w:rPr>
          <w:sz w:val="20"/>
        </w:rPr>
        <w:t>% of the issued and outstanding shares of Osprey.</w:t>
      </w:r>
      <w:r w:rsidR="00D87ABE" w:rsidRPr="00884007">
        <w:rPr>
          <w:sz w:val="20"/>
        </w:rPr>
        <w:t xml:space="preserve"> </w:t>
      </w:r>
    </w:p>
    <w:p w14:paraId="342E0745" w14:textId="238FAB90" w:rsidR="001B5D5F" w:rsidRPr="001B5D5F" w:rsidRDefault="001B5D5F" w:rsidP="001B5D5F">
      <w:pPr>
        <w:autoSpaceDE w:val="0"/>
        <w:autoSpaceDN w:val="0"/>
        <w:adjustRightInd w:val="0"/>
        <w:ind w:left="450" w:hanging="450"/>
        <w:jc w:val="both"/>
        <w:rPr>
          <w:b/>
          <w:spacing w:val="-2"/>
          <w:sz w:val="20"/>
        </w:rPr>
      </w:pPr>
      <w:r w:rsidRPr="001B5D5F">
        <w:rPr>
          <w:b/>
          <w:spacing w:val="-2"/>
          <w:sz w:val="20"/>
        </w:rPr>
        <w:lastRenderedPageBreak/>
        <w:t>14.</w:t>
      </w:r>
      <w:r>
        <w:rPr>
          <w:b/>
          <w:spacing w:val="-2"/>
          <w:sz w:val="20"/>
        </w:rPr>
        <w:t xml:space="preserve">   </w:t>
      </w:r>
      <w:r w:rsidRPr="001B5D5F">
        <w:rPr>
          <w:b/>
          <w:spacing w:val="-2"/>
          <w:sz w:val="20"/>
        </w:rPr>
        <w:t xml:space="preserve"> Loan </w:t>
      </w:r>
      <w:r w:rsidR="00C80FF1">
        <w:rPr>
          <w:b/>
          <w:spacing w:val="-2"/>
          <w:sz w:val="20"/>
        </w:rPr>
        <w:t>Receivable</w:t>
      </w:r>
    </w:p>
    <w:p w14:paraId="046F4BAB" w14:textId="77777777" w:rsidR="001B5D5F" w:rsidRPr="00D420DC" w:rsidRDefault="001B5D5F" w:rsidP="001B5D5F">
      <w:pPr>
        <w:autoSpaceDE w:val="0"/>
        <w:autoSpaceDN w:val="0"/>
        <w:adjustRightInd w:val="0"/>
        <w:ind w:left="425" w:hanging="425"/>
        <w:jc w:val="both"/>
        <w:rPr>
          <w:b/>
          <w:spacing w:val="-2"/>
          <w:sz w:val="20"/>
        </w:rPr>
      </w:pPr>
    </w:p>
    <w:p w14:paraId="3CB69C1D" w14:textId="77777777" w:rsidR="001B5D5F" w:rsidRPr="007E1428" w:rsidRDefault="001B5D5F" w:rsidP="001B5D5F">
      <w:pPr>
        <w:spacing w:after="120"/>
        <w:ind w:left="425"/>
        <w:jc w:val="both"/>
        <w:rPr>
          <w:sz w:val="20"/>
        </w:rPr>
      </w:pPr>
      <w:r w:rsidRPr="007E1428">
        <w:rPr>
          <w:sz w:val="20"/>
        </w:rPr>
        <w:t>On May 8, 2020, the Company entered into a Promissory Note (“Promissory Note”) of $75,000 with Osprey. The Promissory Note is non-interest bearing, due on demand and is unsecured.</w:t>
      </w:r>
    </w:p>
    <w:p w14:paraId="4BA6FD9F" w14:textId="761FF2D0" w:rsidR="009376F8" w:rsidRDefault="00962DEB" w:rsidP="0007289E">
      <w:pPr>
        <w:autoSpaceDE w:val="0"/>
        <w:autoSpaceDN w:val="0"/>
        <w:adjustRightInd w:val="0"/>
        <w:ind w:left="425" w:hanging="425"/>
        <w:jc w:val="both"/>
        <w:rPr>
          <w:b/>
          <w:spacing w:val="-2"/>
          <w:sz w:val="20"/>
        </w:rPr>
      </w:pPr>
      <w:r w:rsidRPr="0007289E">
        <w:rPr>
          <w:b/>
          <w:spacing w:val="-2"/>
          <w:sz w:val="20"/>
        </w:rPr>
        <w:t>1</w:t>
      </w:r>
      <w:r w:rsidR="0007289E">
        <w:rPr>
          <w:b/>
          <w:spacing w:val="-2"/>
          <w:sz w:val="20"/>
        </w:rPr>
        <w:t>5</w:t>
      </w:r>
      <w:r w:rsidRPr="0007289E">
        <w:rPr>
          <w:b/>
          <w:spacing w:val="-2"/>
          <w:sz w:val="20"/>
        </w:rPr>
        <w:t>.</w:t>
      </w:r>
      <w:r w:rsidR="0007289E" w:rsidRPr="0007289E">
        <w:rPr>
          <w:b/>
          <w:spacing w:val="-2"/>
          <w:sz w:val="20"/>
        </w:rPr>
        <w:tab/>
      </w:r>
      <w:r w:rsidRPr="0007289E">
        <w:rPr>
          <w:b/>
          <w:spacing w:val="-2"/>
          <w:sz w:val="20"/>
        </w:rPr>
        <w:t xml:space="preserve">Subsequent events </w:t>
      </w:r>
    </w:p>
    <w:p w14:paraId="42B2FF96" w14:textId="77777777" w:rsidR="00070C47" w:rsidRDefault="00070C47" w:rsidP="0007289E">
      <w:pPr>
        <w:autoSpaceDE w:val="0"/>
        <w:autoSpaceDN w:val="0"/>
        <w:adjustRightInd w:val="0"/>
        <w:ind w:left="425" w:hanging="425"/>
        <w:jc w:val="both"/>
        <w:rPr>
          <w:b/>
          <w:spacing w:val="-2"/>
          <w:sz w:val="20"/>
        </w:rPr>
      </w:pPr>
    </w:p>
    <w:p w14:paraId="57322F8A" w14:textId="3A73F64F" w:rsidR="005770B7" w:rsidRDefault="005770B7" w:rsidP="005770B7">
      <w:pPr>
        <w:spacing w:after="120"/>
        <w:ind w:left="425"/>
        <w:jc w:val="both"/>
        <w:rPr>
          <w:sz w:val="20"/>
        </w:rPr>
      </w:pPr>
      <w:r w:rsidRPr="00941FEE">
        <w:rPr>
          <w:sz w:val="20"/>
        </w:rPr>
        <w:t xml:space="preserve">The Company entered into </w:t>
      </w:r>
      <w:r w:rsidR="00573978" w:rsidRPr="00941FEE">
        <w:rPr>
          <w:sz w:val="20"/>
        </w:rPr>
        <w:t>an</w:t>
      </w:r>
      <w:r w:rsidRPr="00941FEE">
        <w:rPr>
          <w:sz w:val="20"/>
        </w:rPr>
        <w:t xml:space="preserve"> </w:t>
      </w:r>
      <w:r w:rsidR="00BF09E5">
        <w:rPr>
          <w:sz w:val="20"/>
        </w:rPr>
        <w:t>Arrangement Agreement</w:t>
      </w:r>
      <w:r w:rsidRPr="00941FEE">
        <w:rPr>
          <w:sz w:val="20"/>
        </w:rPr>
        <w:t xml:space="preserve"> on </w:t>
      </w:r>
      <w:r w:rsidR="00BF09E5">
        <w:rPr>
          <w:sz w:val="20"/>
        </w:rPr>
        <w:t>June 8</w:t>
      </w:r>
      <w:r w:rsidRPr="00941FEE">
        <w:rPr>
          <w:sz w:val="20"/>
        </w:rPr>
        <w:t>, 2020 pursuant to which the Company will acquire 100% of the issued and outstanding shares of Osprey (the “Transaction”). Each shareholder of Osprey will receive such number of common shares of the Company (the “Company’s share”) as is equal to the product of the number of Osprey Shares held by such shareholder at an exchange ratio which equals one (1) the Company’s shares per two (2) Osprey Shares outstanding at the closing of the Transaction. The Transaction</w:t>
      </w:r>
      <w:r w:rsidR="00573978">
        <w:rPr>
          <w:sz w:val="20"/>
        </w:rPr>
        <w:t xml:space="preserve"> has</w:t>
      </w:r>
      <w:r w:rsidR="00FF3D4B">
        <w:rPr>
          <w:sz w:val="20"/>
        </w:rPr>
        <w:t xml:space="preserve"> not closed </w:t>
      </w:r>
      <w:r w:rsidR="00573978">
        <w:rPr>
          <w:sz w:val="20"/>
        </w:rPr>
        <w:t>as of the date of these financial statements</w:t>
      </w:r>
      <w:r w:rsidR="00FF3D4B">
        <w:rPr>
          <w:sz w:val="20"/>
        </w:rPr>
        <w:t>.</w:t>
      </w:r>
    </w:p>
    <w:p w14:paraId="7D89A238" w14:textId="0067534D" w:rsidR="00962DEB" w:rsidRPr="0007289E" w:rsidRDefault="00962DEB" w:rsidP="00CF0389">
      <w:pPr>
        <w:spacing w:after="120"/>
        <w:ind w:left="425"/>
        <w:jc w:val="both"/>
        <w:rPr>
          <w:sz w:val="20"/>
        </w:rPr>
      </w:pPr>
    </w:p>
    <w:sectPr w:rsidR="00962DEB" w:rsidRPr="0007289E" w:rsidSect="00033D79">
      <w:headerReference w:type="even" r:id="rId33"/>
      <w:headerReference w:type="default" r:id="rId34"/>
      <w:footerReference w:type="default" r:id="rId35"/>
      <w:headerReference w:type="first" r:id="rId36"/>
      <w:pgSz w:w="12240" w:h="15840"/>
      <w:pgMar w:top="122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2DAE1" w14:textId="77777777" w:rsidR="00EA493B" w:rsidRDefault="00EA493B" w:rsidP="00B6553D">
      <w:r>
        <w:separator/>
      </w:r>
    </w:p>
  </w:endnote>
  <w:endnote w:type="continuationSeparator" w:id="0">
    <w:p w14:paraId="77B1FEC9" w14:textId="77777777" w:rsidR="00EA493B" w:rsidRDefault="00EA493B" w:rsidP="00B6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empus Sans ITC">
    <w:panose1 w:val="04020404030D07020202"/>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39CC8" w14:textId="77777777" w:rsidR="006045B6" w:rsidRDefault="00604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BAFBA" w14:textId="0E9A80B3" w:rsidR="002A3306" w:rsidRPr="00731BBA" w:rsidRDefault="002A3306" w:rsidP="006D3C4B">
    <w:pPr>
      <w:pStyle w:val="Header"/>
      <w:rPr>
        <w:b/>
        <w:caps/>
        <w:lang w:bidi="he-IL"/>
      </w:rPr>
    </w:pPr>
    <w:r w:rsidRPr="00507D54">
      <w:rPr>
        <w:rFonts w:ascii="Tempus Sans ITC" w:hAnsi="Tempus Sans ITC" w:cs="Aharoni"/>
        <w:b/>
        <w:caps/>
        <w:lang w:bidi="he-IL"/>
      </w:rPr>
      <w:tab/>
    </w:r>
    <w:r w:rsidRPr="00731BBA">
      <w:rPr>
        <w:b/>
        <w:caps/>
        <w:lang w:bidi="he-I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8586F" w14:textId="58480574" w:rsidR="002A3306" w:rsidRPr="00507D54" w:rsidRDefault="002A3306">
    <w:pPr>
      <w:pStyle w:val="Footer"/>
      <w:rPr>
        <w:rFonts w:asciiTheme="majorHAnsi" w:hAnsiTheme="majorHAnsi"/>
      </w:rPr>
    </w:pPr>
    <w:r w:rsidRPr="00507D54">
      <w:rPr>
        <w:rFonts w:ascii="Tempus Sans ITC" w:hAnsi="Tempus Sans ITC" w:cs="Aharoni"/>
        <w:b/>
        <w:caps/>
        <w:lang w:bidi="he-IL"/>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EA11E" w14:textId="5E061658" w:rsidR="002A3306" w:rsidRPr="00D842D3" w:rsidRDefault="002A3306" w:rsidP="00504130">
    <w:pPr>
      <w:pStyle w:val="Footer"/>
      <w:rPr>
        <w:rFonts w:asciiTheme="majorHAnsi" w:hAnsiTheme="majorHAnsi"/>
      </w:rPr>
    </w:pPr>
    <w:r>
      <w:rPr>
        <w:rFonts w:ascii="Tempus Sans ITC" w:hAnsi="Tempus Sans ITC" w:cs="Aharoni"/>
        <w:b/>
        <w:caps/>
        <w:color w:val="365F91"/>
        <w:lang w:bidi="he-IL"/>
      </w:rPr>
      <w:tab/>
    </w:r>
    <w:r w:rsidRPr="00507D54">
      <w:rPr>
        <w:rFonts w:asciiTheme="majorHAnsi" w:hAnsiTheme="majorHAnsi" w:cs="Aharoni"/>
        <w:b/>
        <w:caps/>
        <w:lang w:bidi="he-IL"/>
      </w:rPr>
      <w:fldChar w:fldCharType="begin"/>
    </w:r>
    <w:r w:rsidRPr="00507D54">
      <w:rPr>
        <w:rFonts w:asciiTheme="majorHAnsi" w:hAnsiTheme="majorHAnsi" w:cs="Aharoni"/>
        <w:b/>
        <w:caps/>
        <w:lang w:bidi="he-IL"/>
      </w:rPr>
      <w:instrText xml:space="preserve"> PAGE   \* MERGEFORMAT </w:instrText>
    </w:r>
    <w:r w:rsidRPr="00507D54">
      <w:rPr>
        <w:rFonts w:asciiTheme="majorHAnsi" w:hAnsiTheme="majorHAnsi" w:cs="Aharoni"/>
        <w:b/>
        <w:caps/>
        <w:lang w:bidi="he-IL"/>
      </w:rPr>
      <w:fldChar w:fldCharType="separate"/>
    </w:r>
    <w:r w:rsidR="006045B6">
      <w:rPr>
        <w:rFonts w:asciiTheme="majorHAnsi" w:hAnsiTheme="majorHAnsi" w:cs="Aharoni"/>
        <w:b/>
        <w:caps/>
        <w:noProof/>
        <w:lang w:bidi="he-IL"/>
      </w:rPr>
      <w:t>4</w:t>
    </w:r>
    <w:r w:rsidRPr="00507D54">
      <w:rPr>
        <w:rFonts w:asciiTheme="majorHAnsi" w:hAnsiTheme="majorHAnsi" w:cs="Aharoni"/>
        <w:b/>
        <w:caps/>
        <w:lang w:bidi="he-IL"/>
      </w:rPr>
      <w:fldChar w:fldCharType="end"/>
    </w:r>
    <w:r>
      <w:rPr>
        <w:rFonts w:ascii="Tempus Sans ITC" w:hAnsi="Tempus Sans ITC" w:cs="Aharoni"/>
        <w:b/>
        <w:caps/>
        <w:color w:val="365F91"/>
        <w:lang w:bidi="he-IL"/>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3DCA4" w14:textId="77777777" w:rsidR="002A3306" w:rsidRPr="00507D54" w:rsidRDefault="002A3306" w:rsidP="00D842D3">
    <w:pPr>
      <w:pStyle w:val="Footer"/>
      <w:jc w:val="center"/>
      <w:rPr>
        <w:rFonts w:asciiTheme="majorHAnsi" w:hAnsiTheme="majorHAnsi"/>
      </w:rPr>
    </w:pPr>
    <w:r w:rsidRPr="00507D54">
      <w:rPr>
        <w:rFonts w:asciiTheme="majorHAnsi" w:hAnsiTheme="majorHAnsi" w:cs="Aharoni"/>
        <w:b/>
        <w:caps/>
        <w:lang w:bidi="he-IL"/>
      </w:rPr>
      <w:fldChar w:fldCharType="begin"/>
    </w:r>
    <w:r w:rsidRPr="00507D54">
      <w:rPr>
        <w:rFonts w:asciiTheme="majorHAnsi" w:hAnsiTheme="majorHAnsi" w:cs="Aharoni"/>
        <w:b/>
        <w:caps/>
        <w:lang w:bidi="he-IL"/>
      </w:rPr>
      <w:instrText xml:space="preserve"> PAGE   \* MERGEFORMAT </w:instrText>
    </w:r>
    <w:r w:rsidRPr="00507D54">
      <w:rPr>
        <w:rFonts w:asciiTheme="majorHAnsi" w:hAnsiTheme="majorHAnsi" w:cs="Aharoni"/>
        <w:b/>
        <w:caps/>
        <w:lang w:bidi="he-IL"/>
      </w:rPr>
      <w:fldChar w:fldCharType="separate"/>
    </w:r>
    <w:r w:rsidR="006045B6">
      <w:rPr>
        <w:rFonts w:asciiTheme="majorHAnsi" w:hAnsiTheme="majorHAnsi" w:cs="Aharoni"/>
        <w:b/>
        <w:caps/>
        <w:noProof/>
        <w:lang w:bidi="he-IL"/>
      </w:rPr>
      <w:t>3</w:t>
    </w:r>
    <w:r w:rsidRPr="00507D54">
      <w:rPr>
        <w:rFonts w:asciiTheme="majorHAnsi" w:hAnsiTheme="majorHAnsi" w:cs="Aharoni"/>
        <w:b/>
        <w:caps/>
        <w:lang w:bidi="he-IL"/>
      </w:rPr>
      <w:fldChar w:fldCharType="end"/>
    </w:r>
  </w:p>
  <w:p w14:paraId="0363CA8B" w14:textId="0ED0C149" w:rsidR="002A3306" w:rsidRPr="00507D54" w:rsidRDefault="002A3306">
    <w:pPr>
      <w:pStyle w:val="Footer"/>
      <w:rPr>
        <w:rFonts w:asciiTheme="majorHAnsi" w:hAnsiTheme="majorHAns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32027"/>
      <w:docPartObj>
        <w:docPartGallery w:val="Page Numbers (Bottom of Page)"/>
        <w:docPartUnique/>
      </w:docPartObj>
    </w:sdtPr>
    <w:sdtEndPr>
      <w:rPr>
        <w:b/>
        <w:noProof/>
      </w:rPr>
    </w:sdtEndPr>
    <w:sdtContent>
      <w:p w14:paraId="640AC736" w14:textId="7CD3C900" w:rsidR="002A3306" w:rsidRPr="00504130" w:rsidRDefault="002A3306">
        <w:pPr>
          <w:pStyle w:val="Footer"/>
          <w:jc w:val="center"/>
          <w:rPr>
            <w:b/>
          </w:rPr>
        </w:pPr>
        <w:r w:rsidRPr="00504130">
          <w:rPr>
            <w:b/>
          </w:rPr>
          <w:fldChar w:fldCharType="begin"/>
        </w:r>
        <w:r w:rsidRPr="00504130">
          <w:rPr>
            <w:b/>
          </w:rPr>
          <w:instrText xml:space="preserve"> PAGE   \* MERGEFORMAT </w:instrText>
        </w:r>
        <w:r w:rsidRPr="00504130">
          <w:rPr>
            <w:b/>
          </w:rPr>
          <w:fldChar w:fldCharType="separate"/>
        </w:r>
        <w:r w:rsidR="006045B6">
          <w:rPr>
            <w:b/>
            <w:noProof/>
          </w:rPr>
          <w:t>7</w:t>
        </w:r>
        <w:r w:rsidRPr="00504130">
          <w:rPr>
            <w:b/>
            <w:noProof/>
          </w:rPr>
          <w:fldChar w:fldCharType="end"/>
        </w:r>
      </w:p>
    </w:sdtContent>
  </w:sdt>
  <w:p w14:paraId="0C8946F3" w14:textId="77777777" w:rsidR="002A3306" w:rsidRPr="006D3C4B" w:rsidRDefault="002A3306" w:rsidP="00BC044C">
    <w:pPr>
      <w:pStyle w:val="Footer"/>
      <w:rPr>
        <w:rFonts w:ascii="Tempus Sans ITC" w:hAnsi="Tempus Sans ITC" w:cs="Aharoni"/>
        <w:b/>
        <w:caps/>
        <w:color w:val="365F91"/>
        <w:lang w:bidi="he-I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D102B" w14:textId="77777777" w:rsidR="00EA493B" w:rsidRDefault="00EA493B" w:rsidP="00B6553D">
      <w:r>
        <w:separator/>
      </w:r>
    </w:p>
  </w:footnote>
  <w:footnote w:type="continuationSeparator" w:id="0">
    <w:p w14:paraId="464808F6" w14:textId="77777777" w:rsidR="00EA493B" w:rsidRDefault="00EA493B" w:rsidP="00B65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3F5B6" w14:textId="77777777" w:rsidR="006045B6" w:rsidRDefault="006045B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FC0EB" w14:textId="77777777" w:rsidR="002A3306" w:rsidRDefault="002A330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75F46" w14:textId="77777777" w:rsidR="002A3306" w:rsidRPr="006045B6" w:rsidRDefault="002A3306" w:rsidP="00FF6037">
    <w:pPr>
      <w:pStyle w:val="Header"/>
      <w:ind w:firstLine="142"/>
      <w:rPr>
        <w:b/>
        <w:caps/>
        <w:szCs w:val="24"/>
        <w:lang w:bidi="he-IL"/>
      </w:rPr>
    </w:pPr>
    <w:bookmarkStart w:id="1" w:name="_GoBack"/>
    <w:r w:rsidRPr="006045B6">
      <w:rPr>
        <w:b/>
        <w:caps/>
        <w:szCs w:val="24"/>
        <w:lang w:bidi="he-IL"/>
      </w:rPr>
      <w:t>condensed intermin consolidated statements of loss and comprehensive loss</w:t>
    </w:r>
  </w:p>
  <w:p w14:paraId="0DEEC392" w14:textId="77777777" w:rsidR="002A3306" w:rsidRPr="006045B6" w:rsidRDefault="002A3306" w:rsidP="00F16805">
    <w:pPr>
      <w:pStyle w:val="Header"/>
      <w:ind w:firstLine="142"/>
      <w:rPr>
        <w:b/>
        <w:caps/>
        <w:vanish/>
        <w:lang w:bidi="he-IL"/>
      </w:rPr>
    </w:pPr>
    <w:r w:rsidRPr="006045B6">
      <w:rPr>
        <w:b/>
        <w:caps/>
        <w:szCs w:val="24"/>
        <w:lang w:bidi="he-IL"/>
      </w:rPr>
      <w:t xml:space="preserve">unaudited - </w:t>
    </w:r>
    <w:r w:rsidRPr="006045B6">
      <w:rPr>
        <w:b/>
        <w:caps/>
        <w:vanish/>
        <w:lang w:bidi="he-IL"/>
      </w:rPr>
      <w:t xml:space="preserve">   </w:t>
    </w:r>
    <w:r w:rsidRPr="006045B6">
      <w:rPr>
        <w:b/>
        <w:caps/>
        <w:vanish/>
        <w:lang w:bidi="he-IL"/>
      </w:rPr>
      <w:br/>
      <w:t xml:space="preserve"> </w:t>
    </w:r>
    <w:r w:rsidRPr="006045B6">
      <w:rPr>
        <w:b/>
        <w:caps/>
        <w:lang w:bidi="he-IL"/>
      </w:rPr>
      <w:t xml:space="preserve">Expressed in canadian dollars </w:t>
    </w:r>
  </w:p>
  <w:bookmarkEnd w:id="1"/>
  <w:p w14:paraId="1BD161ED" w14:textId="77777777" w:rsidR="002A3306" w:rsidRPr="00C82A14" w:rsidRDefault="002A3306" w:rsidP="00C82A1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7982" w14:textId="77777777" w:rsidR="002A3306" w:rsidRDefault="002A3306" w:rsidP="005D1ED8">
    <w:pPr>
      <w:pStyle w:val="Header"/>
      <w:rPr>
        <w:rFonts w:asciiTheme="majorHAnsi" w:hAnsiTheme="majorHAnsi" w:cs="Aharoni"/>
        <w:b/>
        <w:caps/>
        <w:szCs w:val="24"/>
        <w:lang w:bidi="he-IL"/>
      </w:rPr>
    </w:pPr>
    <w:r>
      <w:rPr>
        <w:rFonts w:asciiTheme="majorHAnsi" w:hAnsiTheme="majorHAnsi" w:cs="Aharoni"/>
        <w:b/>
        <w:caps/>
        <w:szCs w:val="24"/>
        <w:lang w:bidi="he-IL"/>
      </w:rPr>
      <w:t>megumagold corp</w:t>
    </w:r>
  </w:p>
  <w:p w14:paraId="5AA3823B" w14:textId="2EEFFCD8" w:rsidR="002A3306" w:rsidRDefault="002A3306" w:rsidP="005D1ED8">
    <w:pPr>
      <w:pStyle w:val="Header"/>
      <w:rPr>
        <w:rFonts w:asciiTheme="majorHAnsi" w:hAnsiTheme="majorHAnsi" w:cs="Aharoni"/>
        <w:b/>
        <w:caps/>
        <w:szCs w:val="24"/>
        <w:lang w:bidi="he-IL"/>
      </w:rPr>
    </w:pPr>
    <w:r>
      <w:rPr>
        <w:rFonts w:asciiTheme="majorHAnsi" w:hAnsiTheme="majorHAnsi" w:cs="Aharoni"/>
        <w:b/>
        <w:caps/>
        <w:szCs w:val="24"/>
        <w:lang w:bidi="he-IL"/>
      </w:rPr>
      <w:t>CONDENSED INTERIM C</w:t>
    </w:r>
    <w:r w:rsidRPr="00507D54">
      <w:rPr>
        <w:rFonts w:asciiTheme="majorHAnsi" w:hAnsiTheme="majorHAnsi" w:cs="Aharoni"/>
        <w:b/>
        <w:caps/>
        <w:szCs w:val="24"/>
        <w:lang w:bidi="he-IL"/>
      </w:rPr>
      <w:t>ONSOLIDATED statements OF LOSS AND COMPREHENSIVE LOSS</w:t>
    </w:r>
  </w:p>
  <w:p w14:paraId="47C3AAC2" w14:textId="66E63A66" w:rsidR="002A3306" w:rsidRPr="00507D54" w:rsidRDefault="002A3306" w:rsidP="005D1ED8">
    <w:pPr>
      <w:pStyle w:val="Header"/>
      <w:rPr>
        <w:rFonts w:asciiTheme="majorHAnsi" w:hAnsiTheme="majorHAnsi" w:cs="Aharoni"/>
        <w:b/>
        <w:caps/>
        <w:szCs w:val="24"/>
        <w:lang w:bidi="he-IL"/>
      </w:rPr>
    </w:pPr>
    <w:r>
      <w:rPr>
        <w:rFonts w:asciiTheme="majorHAnsi" w:hAnsiTheme="majorHAnsi" w:cs="Aharoni"/>
        <w:b/>
        <w:caps/>
        <w:szCs w:val="24"/>
        <w:lang w:bidi="he-IL"/>
      </w:rPr>
      <w:t>FOR THE THREE MONTHS ENDED JUNE 30, 2020 AND 2019</w:t>
    </w:r>
  </w:p>
  <w:p w14:paraId="4DC7FA2F" w14:textId="667F40F5" w:rsidR="002A3306" w:rsidRPr="00507D54" w:rsidRDefault="002A3306" w:rsidP="005D1ED8">
    <w:pPr>
      <w:pStyle w:val="Header"/>
      <w:rPr>
        <w:rFonts w:asciiTheme="majorHAnsi" w:hAnsiTheme="majorHAnsi" w:cs="Aharoni"/>
        <w:b/>
        <w:caps/>
        <w:lang w:bidi="he-IL"/>
      </w:rPr>
    </w:pPr>
    <w:r>
      <w:rPr>
        <w:rFonts w:asciiTheme="majorHAnsi" w:hAnsiTheme="majorHAnsi" w:cs="Aharoni"/>
        <w:b/>
        <w:caps/>
        <w:lang w:bidi="he-IL"/>
      </w:rPr>
      <w:t xml:space="preserve">UNAUDITED - </w:t>
    </w:r>
    <w:r w:rsidRPr="00507D54">
      <w:rPr>
        <w:rFonts w:asciiTheme="majorHAnsi" w:hAnsiTheme="majorHAnsi" w:cs="Aharoni"/>
        <w:b/>
        <w:caps/>
        <w:lang w:bidi="he-IL"/>
      </w:rPr>
      <w:t>Expressed in canadian dollars</w:t>
    </w:r>
  </w:p>
  <w:p w14:paraId="0BD5B45F" w14:textId="77777777" w:rsidR="002A3306" w:rsidRPr="00C82A14" w:rsidRDefault="002A3306" w:rsidP="00C82A1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7DC51" w14:textId="77777777" w:rsidR="002A3306" w:rsidRDefault="002A330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A2F31" w14:textId="77777777" w:rsidR="002A3306" w:rsidRPr="00B61480" w:rsidRDefault="002A3306" w:rsidP="00033D79">
    <w:pPr>
      <w:pStyle w:val="Header"/>
      <w:ind w:firstLine="142"/>
      <w:rPr>
        <w:b/>
        <w:caps/>
        <w:szCs w:val="24"/>
        <w:lang w:bidi="he-IL"/>
      </w:rPr>
    </w:pPr>
    <w:r w:rsidRPr="00B61480">
      <w:rPr>
        <w:b/>
        <w:caps/>
        <w:szCs w:val="24"/>
        <w:lang w:bidi="he-IL"/>
      </w:rPr>
      <w:t>megumagold corp. (formerly coronet metals inc.)</w:t>
    </w:r>
  </w:p>
  <w:p w14:paraId="640140D1" w14:textId="77777777" w:rsidR="002A3306" w:rsidRPr="00B61480" w:rsidRDefault="002A3306" w:rsidP="00033D79">
    <w:pPr>
      <w:pStyle w:val="Header"/>
      <w:ind w:firstLine="142"/>
      <w:rPr>
        <w:b/>
        <w:caps/>
        <w:szCs w:val="24"/>
        <w:lang w:bidi="he-IL"/>
      </w:rPr>
    </w:pPr>
    <w:r>
      <w:rPr>
        <w:b/>
        <w:caps/>
        <w:szCs w:val="24"/>
        <w:lang w:bidi="he-IL"/>
      </w:rPr>
      <w:t>C</w:t>
    </w:r>
    <w:r w:rsidRPr="00B61480">
      <w:rPr>
        <w:b/>
        <w:caps/>
        <w:szCs w:val="24"/>
        <w:lang w:bidi="he-IL"/>
      </w:rPr>
      <w:t>onsolidated statements cash flows</w:t>
    </w:r>
  </w:p>
  <w:p w14:paraId="1F207FD9" w14:textId="77777777" w:rsidR="002A3306" w:rsidRPr="00B61480" w:rsidRDefault="002A3306" w:rsidP="00033D79">
    <w:pPr>
      <w:pStyle w:val="Header"/>
      <w:ind w:firstLine="142"/>
      <w:rPr>
        <w:b/>
        <w:caps/>
        <w:szCs w:val="24"/>
        <w:lang w:bidi="he-IL"/>
      </w:rPr>
    </w:pPr>
    <w:r w:rsidRPr="00B61480">
      <w:rPr>
        <w:b/>
        <w:caps/>
        <w:szCs w:val="24"/>
        <w:lang w:bidi="he-IL"/>
      </w:rPr>
      <w:t xml:space="preserve">for the </w:t>
    </w:r>
    <w:r>
      <w:rPr>
        <w:b/>
        <w:caps/>
        <w:szCs w:val="24"/>
        <w:lang w:bidi="he-IL"/>
      </w:rPr>
      <w:t xml:space="preserve">YEAR ENDED MARCH 31, 2019 and 2018 </w:t>
    </w:r>
  </w:p>
  <w:p w14:paraId="62CBB876" w14:textId="2024B8F7" w:rsidR="002A3306" w:rsidRPr="00C82A14" w:rsidRDefault="002A3306" w:rsidP="00B672A5">
    <w:pPr>
      <w:pStyle w:val="Header"/>
      <w:ind w:firstLine="142"/>
    </w:pPr>
    <w:r w:rsidRPr="00B61480">
      <w:rPr>
        <w:b/>
        <w:caps/>
        <w:lang w:bidi="he-IL"/>
      </w:rPr>
      <w:t xml:space="preserve">Expressed in canadian dollars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99C9B" w14:textId="6A7B4CA9" w:rsidR="002A3306" w:rsidRPr="00B61480" w:rsidRDefault="002A3306" w:rsidP="00912FF2">
    <w:pPr>
      <w:pStyle w:val="Header"/>
      <w:tabs>
        <w:tab w:val="clear" w:pos="9360"/>
        <w:tab w:val="left" w:pos="8520"/>
      </w:tabs>
      <w:rPr>
        <w:b/>
        <w:caps/>
        <w:szCs w:val="24"/>
        <w:lang w:bidi="he-IL"/>
      </w:rPr>
    </w:pPr>
    <w:r w:rsidRPr="00B61480">
      <w:rPr>
        <w:b/>
        <w:caps/>
        <w:szCs w:val="24"/>
        <w:lang w:bidi="he-IL"/>
      </w:rPr>
      <w:t>megumagold corp.</w:t>
    </w:r>
    <w:r>
      <w:rPr>
        <w:b/>
        <w:caps/>
        <w:szCs w:val="24"/>
        <w:lang w:bidi="he-IL"/>
      </w:rPr>
      <w:tab/>
    </w:r>
  </w:p>
  <w:p w14:paraId="4BC9B462" w14:textId="25EE23AB" w:rsidR="002A3306" w:rsidRPr="00B61480" w:rsidRDefault="002A3306" w:rsidP="00912FF2">
    <w:pPr>
      <w:pStyle w:val="Header"/>
      <w:rPr>
        <w:b/>
        <w:caps/>
        <w:szCs w:val="24"/>
        <w:lang w:bidi="he-IL"/>
      </w:rPr>
    </w:pPr>
    <w:r>
      <w:rPr>
        <w:b/>
        <w:caps/>
        <w:szCs w:val="24"/>
        <w:lang w:bidi="he-IL"/>
      </w:rPr>
      <w:t xml:space="preserve">CONDENSED INTERIM </w:t>
    </w:r>
    <w:r w:rsidRPr="00B61480">
      <w:rPr>
        <w:b/>
        <w:caps/>
        <w:szCs w:val="24"/>
        <w:lang w:bidi="he-IL"/>
      </w:rPr>
      <w:t>consolidated statements OF CHANGES IN SHAREHOLDERS’ EQUITY</w:t>
    </w:r>
  </w:p>
  <w:p w14:paraId="1419F7C9" w14:textId="367A2129" w:rsidR="002A3306" w:rsidRDefault="002A3306" w:rsidP="00912FF2">
    <w:pPr>
      <w:pStyle w:val="Header"/>
      <w:rPr>
        <w:b/>
        <w:caps/>
        <w:lang w:bidi="he-IL"/>
      </w:rPr>
    </w:pPr>
    <w:r>
      <w:rPr>
        <w:b/>
        <w:caps/>
        <w:lang w:bidi="he-IL"/>
      </w:rPr>
      <w:t xml:space="preserve">UNAUDITED - </w:t>
    </w:r>
    <w:r w:rsidRPr="00B61480">
      <w:rPr>
        <w:b/>
        <w:caps/>
        <w:lang w:bidi="he-IL"/>
      </w:rPr>
      <w:t xml:space="preserve">Expressed in canadian dollars </w:t>
    </w:r>
  </w:p>
  <w:p w14:paraId="6ECBF456" w14:textId="77777777" w:rsidR="002A3306" w:rsidRPr="00B61480" w:rsidRDefault="002A3306" w:rsidP="00912FF2">
    <w:pPr>
      <w:pStyle w:val="Header"/>
      <w:rPr>
        <w:b/>
        <w:caps/>
        <w:lang w:bidi="he-I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C5487" w14:textId="77777777" w:rsidR="002A3306" w:rsidRDefault="002A330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E4F58" w14:textId="1738EE7A" w:rsidR="002A3306" w:rsidRPr="00B61480" w:rsidRDefault="002A3306" w:rsidP="004602D5">
    <w:pPr>
      <w:pStyle w:val="Header"/>
      <w:tabs>
        <w:tab w:val="clear" w:pos="9360"/>
        <w:tab w:val="left" w:pos="8520"/>
      </w:tabs>
      <w:rPr>
        <w:b/>
        <w:caps/>
        <w:szCs w:val="24"/>
        <w:lang w:bidi="he-IL"/>
      </w:rPr>
    </w:pPr>
    <w:r w:rsidRPr="00B61480">
      <w:rPr>
        <w:b/>
        <w:caps/>
        <w:szCs w:val="24"/>
        <w:lang w:bidi="he-IL"/>
      </w:rPr>
      <w:t>megumagold corp.</w:t>
    </w:r>
    <w:r>
      <w:rPr>
        <w:b/>
        <w:caps/>
        <w:szCs w:val="24"/>
        <w:lang w:bidi="he-IL"/>
      </w:rPr>
      <w:tab/>
    </w:r>
  </w:p>
  <w:p w14:paraId="3E66D54F" w14:textId="5CEC98E2" w:rsidR="002A3306" w:rsidRDefault="002A3306" w:rsidP="004602D5">
    <w:pPr>
      <w:pStyle w:val="Header"/>
      <w:rPr>
        <w:b/>
        <w:caps/>
        <w:szCs w:val="24"/>
        <w:lang w:bidi="he-IL"/>
      </w:rPr>
    </w:pPr>
    <w:r>
      <w:rPr>
        <w:b/>
        <w:caps/>
        <w:szCs w:val="24"/>
        <w:lang w:bidi="he-IL"/>
      </w:rPr>
      <w:t xml:space="preserve">CONDENSED INTERIM </w:t>
    </w:r>
    <w:r w:rsidRPr="00B61480">
      <w:rPr>
        <w:b/>
        <w:caps/>
        <w:szCs w:val="24"/>
        <w:lang w:bidi="he-IL"/>
      </w:rPr>
      <w:t xml:space="preserve">consolidated statements OF </w:t>
    </w:r>
    <w:r>
      <w:rPr>
        <w:b/>
        <w:caps/>
        <w:szCs w:val="24"/>
        <w:lang w:bidi="he-IL"/>
      </w:rPr>
      <w:t>CASH FLOWS</w:t>
    </w:r>
  </w:p>
  <w:p w14:paraId="7BB1FBC7" w14:textId="0E7EAE27" w:rsidR="002A3306" w:rsidRPr="00B61480" w:rsidRDefault="002A3306" w:rsidP="004602D5">
    <w:pPr>
      <w:pStyle w:val="Header"/>
      <w:rPr>
        <w:b/>
        <w:caps/>
        <w:szCs w:val="24"/>
        <w:lang w:bidi="he-IL"/>
      </w:rPr>
    </w:pPr>
    <w:r>
      <w:rPr>
        <w:b/>
        <w:caps/>
        <w:szCs w:val="24"/>
        <w:lang w:bidi="he-IL"/>
      </w:rPr>
      <w:t>FOR THE THREE MONTHS ENDED JUNE 30, 2020 AND 2019</w:t>
    </w:r>
  </w:p>
  <w:p w14:paraId="0A121896" w14:textId="0D9ED700" w:rsidR="002A3306" w:rsidRDefault="002A3306" w:rsidP="004602D5">
    <w:pPr>
      <w:pStyle w:val="Header"/>
      <w:rPr>
        <w:b/>
        <w:caps/>
        <w:lang w:bidi="he-IL"/>
      </w:rPr>
    </w:pPr>
    <w:r>
      <w:rPr>
        <w:b/>
        <w:caps/>
        <w:lang w:bidi="he-IL"/>
      </w:rPr>
      <w:t xml:space="preserve">UNAUDITED - </w:t>
    </w:r>
    <w:r w:rsidRPr="00B61480">
      <w:rPr>
        <w:b/>
        <w:caps/>
        <w:lang w:bidi="he-IL"/>
      </w:rPr>
      <w:t xml:space="preserve">Expressed in canadian dollars </w:t>
    </w:r>
  </w:p>
  <w:p w14:paraId="6E066B1A" w14:textId="77777777" w:rsidR="002A3306" w:rsidRPr="00C82A14" w:rsidRDefault="002A3306" w:rsidP="004602D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5149B" w14:textId="77777777" w:rsidR="002A3306" w:rsidRDefault="002A330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D63BD" w14:textId="77777777" w:rsidR="002A3306" w:rsidRDefault="002A3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F1FF4" w14:textId="77777777" w:rsidR="002A3306" w:rsidRDefault="002A3306">
    <w:pPr>
      <w:pStyle w:val="Header"/>
      <w:rPr>
        <w:b/>
      </w:rPr>
    </w:pPr>
  </w:p>
  <w:p w14:paraId="5F29A66F" w14:textId="77777777" w:rsidR="002A3306" w:rsidRPr="000D242D" w:rsidRDefault="002A3306">
    <w:pPr>
      <w:pStyle w:val="Header"/>
      <w:rPr>
        <w:rFonts w:asciiTheme="majorHAnsi" w:hAnsiTheme="majorHAnsi"/>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08B9B" w14:textId="098E9A7F" w:rsidR="002A3306" w:rsidRDefault="002A3306" w:rsidP="002E44B1">
    <w:pPr>
      <w:pStyle w:val="Header"/>
      <w:rPr>
        <w:rFonts w:asciiTheme="majorHAnsi" w:hAnsiTheme="majorHAnsi" w:cs="Aharoni"/>
        <w:b/>
        <w:caps/>
        <w:szCs w:val="24"/>
        <w:lang w:bidi="he-IL"/>
      </w:rPr>
    </w:pPr>
    <w:r>
      <w:rPr>
        <w:rFonts w:asciiTheme="majorHAnsi" w:hAnsiTheme="majorHAnsi" w:cs="Aharoni"/>
        <w:b/>
        <w:caps/>
        <w:szCs w:val="24"/>
        <w:lang w:bidi="he-IL"/>
      </w:rPr>
      <w:t xml:space="preserve">megumagold corp. </w:t>
    </w:r>
  </w:p>
  <w:p w14:paraId="455891A6" w14:textId="456035DE" w:rsidR="002A3306" w:rsidRPr="00B02DC9" w:rsidRDefault="002A3306" w:rsidP="002E44B1">
    <w:pPr>
      <w:pStyle w:val="Header"/>
      <w:rPr>
        <w:rFonts w:asciiTheme="majorHAnsi" w:hAnsiTheme="majorHAnsi" w:cs="Aharoni"/>
        <w:b/>
        <w:caps/>
        <w:szCs w:val="24"/>
        <w:lang w:bidi="he-IL"/>
      </w:rPr>
    </w:pPr>
    <w:r w:rsidRPr="00B02DC9">
      <w:rPr>
        <w:rFonts w:asciiTheme="majorHAnsi" w:hAnsiTheme="majorHAnsi" w:cs="Aharoni"/>
        <w:b/>
        <w:caps/>
        <w:szCs w:val="24"/>
        <w:lang w:bidi="he-IL"/>
      </w:rPr>
      <w:t>NOTES TO THE</w:t>
    </w:r>
    <w:r>
      <w:rPr>
        <w:rFonts w:asciiTheme="majorHAnsi" w:hAnsiTheme="majorHAnsi" w:cs="Aharoni"/>
        <w:b/>
        <w:caps/>
        <w:szCs w:val="24"/>
        <w:lang w:bidi="he-IL"/>
      </w:rPr>
      <w:t xml:space="preserve"> CONDENSED INTERIM </w:t>
    </w:r>
    <w:r w:rsidRPr="00B02DC9">
      <w:rPr>
        <w:rFonts w:asciiTheme="majorHAnsi" w:hAnsiTheme="majorHAnsi" w:cs="Aharoni"/>
        <w:b/>
        <w:caps/>
        <w:szCs w:val="24"/>
        <w:lang w:bidi="he-IL"/>
      </w:rPr>
      <w:t>consolidated FINANCIAL statements</w:t>
    </w:r>
  </w:p>
  <w:p w14:paraId="71D86D0F" w14:textId="055C2819" w:rsidR="002A3306" w:rsidRPr="00B02DC9" w:rsidRDefault="002A3306" w:rsidP="002E44B1">
    <w:pPr>
      <w:pStyle w:val="Header"/>
      <w:rPr>
        <w:rFonts w:asciiTheme="majorHAnsi" w:hAnsiTheme="majorHAnsi" w:cs="Aharoni"/>
        <w:b/>
        <w:caps/>
        <w:szCs w:val="24"/>
        <w:lang w:bidi="he-IL"/>
      </w:rPr>
    </w:pPr>
    <w:r w:rsidRPr="00B02DC9">
      <w:rPr>
        <w:rFonts w:asciiTheme="majorHAnsi" w:hAnsiTheme="majorHAnsi" w:cs="Aharoni"/>
        <w:b/>
        <w:caps/>
        <w:szCs w:val="24"/>
        <w:lang w:bidi="he-IL"/>
      </w:rPr>
      <w:t xml:space="preserve">FOR THE </w:t>
    </w:r>
    <w:r>
      <w:rPr>
        <w:rFonts w:asciiTheme="majorHAnsi" w:hAnsiTheme="majorHAnsi" w:cs="Aharoni"/>
        <w:b/>
        <w:caps/>
        <w:szCs w:val="24"/>
        <w:lang w:bidi="he-IL"/>
      </w:rPr>
      <w:t>THREE MONTHS ENDED JUNE 30, 2020 and 2019</w:t>
    </w:r>
  </w:p>
  <w:p w14:paraId="16DCDDE6" w14:textId="7B9D53FA" w:rsidR="002A3306" w:rsidRDefault="002A3306" w:rsidP="002E44B1">
    <w:pPr>
      <w:pStyle w:val="Header"/>
      <w:rPr>
        <w:rFonts w:asciiTheme="majorHAnsi" w:hAnsiTheme="majorHAnsi" w:cs="Aharoni"/>
        <w:b/>
        <w:caps/>
        <w:szCs w:val="24"/>
        <w:lang w:bidi="he-IL"/>
      </w:rPr>
    </w:pPr>
    <w:r>
      <w:rPr>
        <w:rFonts w:asciiTheme="majorHAnsi" w:hAnsiTheme="majorHAnsi" w:cs="Aharoni"/>
        <w:b/>
        <w:caps/>
        <w:szCs w:val="24"/>
        <w:lang w:bidi="he-IL"/>
      </w:rPr>
      <w:t xml:space="preserve">UNAUDITED - </w:t>
    </w:r>
    <w:r w:rsidRPr="00B02DC9">
      <w:rPr>
        <w:rFonts w:asciiTheme="majorHAnsi" w:hAnsiTheme="majorHAnsi" w:cs="Aharoni"/>
        <w:b/>
        <w:caps/>
        <w:szCs w:val="24"/>
        <w:lang w:bidi="he-IL"/>
      </w:rPr>
      <w:t xml:space="preserve">Expressed in canadian dollars except where otherwise indicated </w:t>
    </w:r>
  </w:p>
  <w:p w14:paraId="2962E4E8" w14:textId="77777777" w:rsidR="002A3306" w:rsidRPr="00B02DC9" w:rsidRDefault="002A3306" w:rsidP="002E44B1">
    <w:pPr>
      <w:pStyle w:val="Header"/>
      <w:rPr>
        <w:rFonts w:asciiTheme="majorHAnsi" w:hAnsiTheme="majorHAnsi" w:cs="Aharoni"/>
        <w:b/>
        <w:caps/>
        <w:szCs w:val="24"/>
        <w:lang w:bidi="he-IL"/>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44E6E" w14:textId="77777777" w:rsidR="002A3306" w:rsidRDefault="002A3306">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71B0A" w14:textId="77777777" w:rsidR="006045B6" w:rsidRDefault="006045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CB5A5" w14:textId="77777777" w:rsidR="002A3306" w:rsidRDefault="002A33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E43ED" w14:textId="002C225E" w:rsidR="002A3306" w:rsidRDefault="002A3306" w:rsidP="00592206">
    <w:pPr>
      <w:pStyle w:val="Header"/>
      <w:tabs>
        <w:tab w:val="left" w:pos="1800"/>
      </w:tabs>
    </w:pPr>
    <w:r>
      <w:tab/>
    </w:r>
  </w:p>
  <w:p w14:paraId="2930B22B" w14:textId="77777777" w:rsidR="002A3306" w:rsidRDefault="002A3306" w:rsidP="00592206">
    <w:pPr>
      <w:pStyle w:val="Header"/>
      <w:tabs>
        <w:tab w:val="left" w:pos="3660"/>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47E3" w14:textId="77777777" w:rsidR="002A3306" w:rsidRPr="000D242D" w:rsidRDefault="002A3306" w:rsidP="003C44DC">
    <w:pPr>
      <w:pStyle w:val="Header"/>
      <w:rPr>
        <w:rFonts w:asciiTheme="majorHAnsi" w:hAnsiTheme="majorHAnsi"/>
        <w:b/>
      </w:rPr>
    </w:pPr>
  </w:p>
  <w:p w14:paraId="2264AFD3" w14:textId="77777777" w:rsidR="002A3306" w:rsidRPr="000D242D" w:rsidRDefault="002A3306" w:rsidP="003C44DC">
    <w:pPr>
      <w:pStyle w:val="Header"/>
      <w:rPr>
        <w:rFonts w:asciiTheme="majorHAnsi" w:hAnsiTheme="majorHAnsi"/>
        <w:b/>
      </w:rPr>
    </w:pPr>
    <w:r w:rsidRPr="000D242D">
      <w:rPr>
        <w:rFonts w:asciiTheme="majorHAnsi" w:hAnsiTheme="majorHAnsi"/>
        <w:b/>
      </w:rPr>
      <w:t>NOTICE OF NO AUDITOR REVIEW OF CONDENSED INTERIM CONSOLIDATED FINANCIAL STATEMENTS</w:t>
    </w:r>
  </w:p>
  <w:p w14:paraId="618A7F5B" w14:textId="382F1311" w:rsidR="002A3306" w:rsidRDefault="002A33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B69E4" w14:textId="77777777" w:rsidR="002A3306" w:rsidRDefault="002A330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7C8B7" w14:textId="77777777" w:rsidR="002A3306" w:rsidRPr="00B61480" w:rsidRDefault="002A3306" w:rsidP="00592206">
    <w:pPr>
      <w:pStyle w:val="Header"/>
      <w:ind w:firstLine="142"/>
      <w:rPr>
        <w:b/>
        <w:caps/>
        <w:szCs w:val="24"/>
        <w:lang w:bidi="he-IL"/>
      </w:rPr>
    </w:pPr>
    <w:r w:rsidRPr="00B61480">
      <w:rPr>
        <w:b/>
        <w:caps/>
        <w:szCs w:val="24"/>
        <w:lang w:bidi="he-IL"/>
      </w:rPr>
      <w:t>megumagold corp. (formerly coronet metals inc.)</w:t>
    </w:r>
  </w:p>
  <w:p w14:paraId="44DBD957" w14:textId="77777777" w:rsidR="002A3306" w:rsidRPr="00B61480" w:rsidRDefault="002A3306" w:rsidP="00592206">
    <w:pPr>
      <w:pStyle w:val="Header"/>
      <w:ind w:firstLine="142"/>
      <w:rPr>
        <w:b/>
        <w:caps/>
        <w:szCs w:val="24"/>
        <w:lang w:bidi="he-IL"/>
      </w:rPr>
    </w:pPr>
    <w:r w:rsidRPr="00B61480">
      <w:rPr>
        <w:b/>
        <w:caps/>
        <w:szCs w:val="24"/>
        <w:lang w:bidi="he-IL"/>
      </w:rPr>
      <w:t>consolidated statements of Loss and comprehensive loss</w:t>
    </w:r>
  </w:p>
  <w:p w14:paraId="412DB5AC" w14:textId="77777777" w:rsidR="002A3306" w:rsidRPr="00B61480" w:rsidRDefault="002A3306" w:rsidP="00592206">
    <w:pPr>
      <w:pStyle w:val="Header"/>
      <w:ind w:firstLine="142"/>
      <w:rPr>
        <w:b/>
        <w:caps/>
        <w:szCs w:val="24"/>
        <w:lang w:bidi="he-IL"/>
      </w:rPr>
    </w:pPr>
    <w:r w:rsidRPr="00B61480">
      <w:rPr>
        <w:b/>
        <w:caps/>
        <w:szCs w:val="24"/>
        <w:lang w:bidi="he-IL"/>
      </w:rPr>
      <w:t>For the YEAR ENDED MARCH 31, 2019 AND 2018</w:t>
    </w:r>
  </w:p>
  <w:p w14:paraId="2AC73A6E" w14:textId="7DE2FF45" w:rsidR="002A3306" w:rsidRDefault="002A3306" w:rsidP="00592206">
    <w:pPr>
      <w:pStyle w:val="Header"/>
      <w:ind w:firstLine="142"/>
    </w:pPr>
    <w:r w:rsidRPr="00B61480">
      <w:rPr>
        <w:b/>
        <w:caps/>
        <w:szCs w:val="24"/>
        <w:lang w:bidi="he-IL"/>
      </w:rPr>
      <w:t>Expressed in canadian dollars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0E5AB" w14:textId="1BAD82B0" w:rsidR="002A3306" w:rsidRPr="00B61480" w:rsidRDefault="002A3306" w:rsidP="00731BBA">
    <w:pPr>
      <w:pStyle w:val="Header"/>
      <w:rPr>
        <w:b/>
        <w:caps/>
        <w:szCs w:val="24"/>
        <w:lang w:bidi="he-IL"/>
      </w:rPr>
    </w:pPr>
    <w:r w:rsidRPr="00B61480">
      <w:rPr>
        <w:b/>
        <w:caps/>
        <w:szCs w:val="24"/>
        <w:lang w:bidi="he-IL"/>
      </w:rPr>
      <w:t xml:space="preserve">megumagold corp. </w:t>
    </w:r>
  </w:p>
  <w:p w14:paraId="70577E9A" w14:textId="47CFF1C9" w:rsidR="002A3306" w:rsidRPr="00592206" w:rsidRDefault="002A3306" w:rsidP="00731BBA">
    <w:pPr>
      <w:pStyle w:val="Header"/>
      <w:rPr>
        <w:b/>
        <w:caps/>
        <w:szCs w:val="24"/>
        <w:lang w:bidi="he-IL"/>
      </w:rPr>
    </w:pPr>
    <w:r>
      <w:rPr>
        <w:b/>
        <w:caps/>
        <w:szCs w:val="24"/>
        <w:lang w:bidi="he-IL"/>
      </w:rPr>
      <w:t xml:space="preserve">CONDENSED INTERIM </w:t>
    </w:r>
    <w:r w:rsidRPr="00592206">
      <w:rPr>
        <w:b/>
        <w:caps/>
        <w:szCs w:val="24"/>
        <w:lang w:bidi="he-IL"/>
      </w:rPr>
      <w:t>consolidated statements of financial position</w:t>
    </w:r>
  </w:p>
  <w:p w14:paraId="67A0BD99" w14:textId="4B8DE14E" w:rsidR="002A3306" w:rsidRDefault="002A3306" w:rsidP="00731BBA">
    <w:pPr>
      <w:pStyle w:val="Header"/>
      <w:rPr>
        <w:b/>
        <w:caps/>
        <w:lang w:bidi="he-IL"/>
      </w:rPr>
    </w:pPr>
    <w:r>
      <w:rPr>
        <w:b/>
        <w:caps/>
        <w:szCs w:val="24"/>
        <w:lang w:bidi="he-IL"/>
      </w:rPr>
      <w:t xml:space="preserve">UNAUDITED - </w:t>
    </w:r>
    <w:r w:rsidRPr="00731BBA">
      <w:rPr>
        <w:b/>
        <w:caps/>
        <w:szCs w:val="24"/>
        <w:lang w:bidi="he-IL"/>
      </w:rPr>
      <w:t>Expressed</w:t>
    </w:r>
    <w:r w:rsidRPr="00592206">
      <w:rPr>
        <w:b/>
        <w:caps/>
        <w:lang w:bidi="he-IL"/>
      </w:rPr>
      <w:t xml:space="preserve"> in canadian dollars</w:t>
    </w:r>
  </w:p>
  <w:p w14:paraId="55C20A1C" w14:textId="77777777" w:rsidR="002A3306" w:rsidRDefault="002A3306" w:rsidP="00592206">
    <w:pPr>
      <w:pStyle w:val="Header"/>
      <w:rPr>
        <w:rFonts w:asciiTheme="majorHAnsi" w:hAnsiTheme="majorHAnsi" w:cs="Aharoni"/>
        <w:b/>
        <w:caps/>
        <w:szCs w:val="24"/>
        <w:lang w:bidi="he-I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BC4"/>
    <w:multiLevelType w:val="multilevel"/>
    <w:tmpl w:val="411EA01E"/>
    <w:lvl w:ilvl="0">
      <w:start w:val="3"/>
      <w:numFmt w:val="decimal"/>
      <w:lvlText w:val="%1."/>
      <w:lvlJc w:val="left"/>
      <w:pPr>
        <w:tabs>
          <w:tab w:val="num" w:pos="360"/>
        </w:tabs>
        <w:ind w:left="360" w:hanging="360"/>
      </w:pPr>
    </w:lvl>
    <w:lvl w:ilvl="1">
      <w:start w:val="9"/>
      <w:numFmt w:val="decimal"/>
      <w:lvlText w:val="%1.%2."/>
      <w:lvlJc w:val="left"/>
      <w:pPr>
        <w:tabs>
          <w:tab w:val="num" w:pos="792"/>
        </w:tabs>
        <w:ind w:left="792" w:hanging="432"/>
      </w:pPr>
    </w:lvl>
    <w:lvl w:ilvl="2">
      <w:start w:val="3"/>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29089E"/>
    <w:multiLevelType w:val="hybridMultilevel"/>
    <w:tmpl w:val="A1829314"/>
    <w:lvl w:ilvl="0" w:tplc="B49AE73E">
      <w:start w:val="1"/>
      <w:numFmt w:val="lowerRoman"/>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nsid w:val="078D61D7"/>
    <w:multiLevelType w:val="hybridMultilevel"/>
    <w:tmpl w:val="2A5A21E6"/>
    <w:name w:val="AutoList13"/>
    <w:lvl w:ilvl="0" w:tplc="FFFFFFFF">
      <w:start w:val="1"/>
      <w:numFmt w:val="decimal"/>
      <w:pStyle w:val="HEADERNOTESWITHNUMBERS"/>
      <w:lvlText w:val="%1."/>
      <w:lvlJc w:val="left"/>
      <w:pPr>
        <w:tabs>
          <w:tab w:val="num" w:pos="-720"/>
        </w:tabs>
        <w:ind w:left="-1224" w:firstLine="1224"/>
      </w:pPr>
      <w:rPr>
        <w:rFonts w:cs="Times New Roman" w:hint="default"/>
        <w:b/>
        <w:i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E4A6669"/>
    <w:multiLevelType w:val="multilevel"/>
    <w:tmpl w:val="25160E7E"/>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0F71116A"/>
    <w:multiLevelType w:val="hybridMultilevel"/>
    <w:tmpl w:val="C346DA40"/>
    <w:lvl w:ilvl="0" w:tplc="1984398A">
      <w:start w:val="12"/>
      <w:numFmt w:val="bullet"/>
      <w:lvlText w:val="-"/>
      <w:lvlJc w:val="left"/>
      <w:pPr>
        <w:ind w:left="810" w:hanging="360"/>
      </w:pPr>
      <w:rPr>
        <w:rFonts w:ascii="Cambria" w:eastAsia="Times New Roman" w:hAnsi="Cambria"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0FA014AB"/>
    <w:multiLevelType w:val="multilevel"/>
    <w:tmpl w:val="B742D154"/>
    <w:lvl w:ilvl="0">
      <w:start w:val="3"/>
      <w:numFmt w:val="decimal"/>
      <w:lvlText w:val="%1."/>
      <w:lvlJc w:val="left"/>
      <w:pPr>
        <w:ind w:left="1170" w:hanging="450"/>
      </w:pPr>
      <w:rPr>
        <w:rFonts w:cs="Times New Roman" w:hint="default"/>
      </w:rPr>
    </w:lvl>
    <w:lvl w:ilvl="1">
      <w:start w:val="10"/>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0025672"/>
    <w:multiLevelType w:val="hybridMultilevel"/>
    <w:tmpl w:val="197AB862"/>
    <w:lvl w:ilvl="0" w:tplc="DD386826">
      <w:start w:val="1"/>
      <w:numFmt w:val="low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10B53469"/>
    <w:multiLevelType w:val="hybridMultilevel"/>
    <w:tmpl w:val="EC3C72EC"/>
    <w:lvl w:ilvl="0" w:tplc="B49AE73E">
      <w:start w:val="1"/>
      <w:numFmt w:val="low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10C927FC"/>
    <w:multiLevelType w:val="multilevel"/>
    <w:tmpl w:val="8D6E1A38"/>
    <w:lvl w:ilvl="0">
      <w:start w:val="3"/>
      <w:numFmt w:val="decimal"/>
      <w:lvlText w:val="%1."/>
      <w:lvlJc w:val="left"/>
      <w:pPr>
        <w:ind w:left="1170" w:hanging="450"/>
      </w:pPr>
      <w:rPr>
        <w:rFonts w:cs="Times New Roman"/>
      </w:rPr>
    </w:lvl>
    <w:lvl w:ilvl="1">
      <w:start w:val="5"/>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nsid w:val="11F94313"/>
    <w:multiLevelType w:val="multilevel"/>
    <w:tmpl w:val="411EA01E"/>
    <w:lvl w:ilvl="0">
      <w:start w:val="3"/>
      <w:numFmt w:val="decimal"/>
      <w:lvlText w:val="%1."/>
      <w:lvlJc w:val="left"/>
      <w:pPr>
        <w:tabs>
          <w:tab w:val="num" w:pos="360"/>
        </w:tabs>
        <w:ind w:left="360" w:hanging="360"/>
      </w:pPr>
    </w:lvl>
    <w:lvl w:ilvl="1">
      <w:start w:val="9"/>
      <w:numFmt w:val="decimal"/>
      <w:lvlText w:val="%1.%2."/>
      <w:lvlJc w:val="left"/>
      <w:pPr>
        <w:tabs>
          <w:tab w:val="num" w:pos="792"/>
        </w:tabs>
        <w:ind w:left="792" w:hanging="432"/>
      </w:pPr>
    </w:lvl>
    <w:lvl w:ilvl="2">
      <w:start w:val="3"/>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5812547"/>
    <w:multiLevelType w:val="hybridMultilevel"/>
    <w:tmpl w:val="8AFA272C"/>
    <w:lvl w:ilvl="0" w:tplc="66A667A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E908EB"/>
    <w:multiLevelType w:val="hybridMultilevel"/>
    <w:tmpl w:val="AAD895CE"/>
    <w:lvl w:ilvl="0" w:tplc="69C87C5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B75BD4"/>
    <w:multiLevelType w:val="multilevel"/>
    <w:tmpl w:val="BEDC6EFE"/>
    <w:lvl w:ilvl="0">
      <w:start w:val="3"/>
      <w:numFmt w:val="decimal"/>
      <w:lvlText w:val="%1."/>
      <w:lvlJc w:val="left"/>
      <w:pPr>
        <w:ind w:left="1170" w:hanging="450"/>
      </w:pPr>
      <w:rPr>
        <w:rFonts w:cs="Times New Roman"/>
      </w:rPr>
    </w:lvl>
    <w:lvl w:ilvl="1">
      <w:start w:val="10"/>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nsid w:val="1B4146C8"/>
    <w:multiLevelType w:val="hybridMultilevel"/>
    <w:tmpl w:val="FB22D3BC"/>
    <w:lvl w:ilvl="0" w:tplc="7742B4EE">
      <w:start w:val="1"/>
      <w:numFmt w:val="lowerRoman"/>
      <w:lvlText w:val="(%1)"/>
      <w:lvlJc w:val="left"/>
      <w:pPr>
        <w:ind w:left="1080" w:hanging="72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2DF788C"/>
    <w:multiLevelType w:val="hybridMultilevel"/>
    <w:tmpl w:val="18946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405F37"/>
    <w:multiLevelType w:val="multilevel"/>
    <w:tmpl w:val="0FAC932A"/>
    <w:lvl w:ilvl="0">
      <w:start w:val="3"/>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329693D"/>
    <w:multiLevelType w:val="multilevel"/>
    <w:tmpl w:val="4104C27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34A43247"/>
    <w:multiLevelType w:val="hybridMultilevel"/>
    <w:tmpl w:val="680ACD0E"/>
    <w:lvl w:ilvl="0" w:tplc="A64E6C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4D05E64"/>
    <w:multiLevelType w:val="hybridMultilevel"/>
    <w:tmpl w:val="CC682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F75EAD"/>
    <w:multiLevelType w:val="multilevel"/>
    <w:tmpl w:val="397820FC"/>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nsid w:val="37AA2B5B"/>
    <w:multiLevelType w:val="hybridMultilevel"/>
    <w:tmpl w:val="E208D648"/>
    <w:lvl w:ilvl="0" w:tplc="9F0C0B10">
      <w:start w:val="1"/>
      <w:numFmt w:val="lowerRoman"/>
      <w:lvlText w:val="%1)"/>
      <w:lvlJc w:val="left"/>
      <w:pPr>
        <w:ind w:left="1080" w:hanging="72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1">
    <w:nsid w:val="3C984D3A"/>
    <w:multiLevelType w:val="multilevel"/>
    <w:tmpl w:val="BEDC6EFE"/>
    <w:lvl w:ilvl="0">
      <w:start w:val="3"/>
      <w:numFmt w:val="decimal"/>
      <w:lvlText w:val="%1."/>
      <w:lvlJc w:val="left"/>
      <w:pPr>
        <w:ind w:left="1170" w:hanging="450"/>
      </w:pPr>
      <w:rPr>
        <w:rFonts w:cs="Times New Roman"/>
      </w:rPr>
    </w:lvl>
    <w:lvl w:ilvl="1">
      <w:start w:val="10"/>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3CB76701"/>
    <w:multiLevelType w:val="hybridMultilevel"/>
    <w:tmpl w:val="6770A964"/>
    <w:lvl w:ilvl="0" w:tplc="C0C840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3F2C42E6"/>
    <w:multiLevelType w:val="hybridMultilevel"/>
    <w:tmpl w:val="6D68D13E"/>
    <w:lvl w:ilvl="0" w:tplc="40CAEE2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5977F8"/>
    <w:multiLevelType w:val="hybridMultilevel"/>
    <w:tmpl w:val="93BC09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4A667B1A"/>
    <w:multiLevelType w:val="hybridMultilevel"/>
    <w:tmpl w:val="A4B66372"/>
    <w:lvl w:ilvl="0" w:tplc="10090017">
      <w:start w:val="1"/>
      <w:numFmt w:val="lowerLetter"/>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6">
    <w:nsid w:val="4DA87992"/>
    <w:multiLevelType w:val="multilevel"/>
    <w:tmpl w:val="432EB70A"/>
    <w:lvl w:ilvl="0">
      <w:start w:val="3"/>
      <w:numFmt w:val="decimal"/>
      <w:lvlText w:val="%1."/>
      <w:lvlJc w:val="left"/>
      <w:pPr>
        <w:ind w:left="360" w:hanging="360"/>
      </w:pPr>
    </w:lvl>
    <w:lvl w:ilvl="1">
      <w:start w:val="7"/>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4E4C7F5E"/>
    <w:multiLevelType w:val="hybridMultilevel"/>
    <w:tmpl w:val="8BE6749A"/>
    <w:lvl w:ilvl="0" w:tplc="CA7CA8C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5586206"/>
    <w:multiLevelType w:val="multilevel"/>
    <w:tmpl w:val="7C9625AE"/>
    <w:lvl w:ilvl="0">
      <w:start w:val="1"/>
      <w:numFmt w:val="decimal"/>
      <w:lvlText w:val="%1."/>
      <w:lvlJc w:val="left"/>
      <w:pPr>
        <w:ind w:left="1170" w:hanging="450"/>
      </w:pPr>
      <w:rPr>
        <w:rFonts w:cs="Times New Roman" w:hint="default"/>
      </w:rPr>
    </w:lvl>
    <w:lvl w:ilvl="1">
      <w:start w:val="10"/>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6122F73"/>
    <w:multiLevelType w:val="multilevel"/>
    <w:tmpl w:val="25160E7E"/>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nsid w:val="59961748"/>
    <w:multiLevelType w:val="hybridMultilevel"/>
    <w:tmpl w:val="B00EAF1A"/>
    <w:lvl w:ilvl="0" w:tplc="2070C86E">
      <w:start w:val="1"/>
      <w:numFmt w:val="lowerLetter"/>
      <w:lvlText w:val="%1)"/>
      <w:lvlJc w:val="left"/>
      <w:pPr>
        <w:ind w:left="783" w:hanging="360"/>
      </w:pPr>
      <w:rPr>
        <w:rFonts w:hint="default"/>
        <w:color w:val="auto"/>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1">
    <w:nsid w:val="5EA47F7F"/>
    <w:multiLevelType w:val="multilevel"/>
    <w:tmpl w:val="411EA01E"/>
    <w:lvl w:ilvl="0">
      <w:start w:val="3"/>
      <w:numFmt w:val="decimal"/>
      <w:lvlText w:val="%1."/>
      <w:lvlJc w:val="left"/>
      <w:pPr>
        <w:tabs>
          <w:tab w:val="num" w:pos="360"/>
        </w:tabs>
        <w:ind w:left="360" w:hanging="360"/>
      </w:pPr>
    </w:lvl>
    <w:lvl w:ilvl="1">
      <w:start w:val="9"/>
      <w:numFmt w:val="decimal"/>
      <w:lvlText w:val="%1.%2."/>
      <w:lvlJc w:val="left"/>
      <w:pPr>
        <w:tabs>
          <w:tab w:val="num" w:pos="792"/>
        </w:tabs>
        <w:ind w:left="792" w:hanging="432"/>
      </w:pPr>
    </w:lvl>
    <w:lvl w:ilvl="2">
      <w:start w:val="3"/>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5F731968"/>
    <w:multiLevelType w:val="hybridMultilevel"/>
    <w:tmpl w:val="B16AC2BA"/>
    <w:lvl w:ilvl="0" w:tplc="B49AE73E">
      <w:start w:val="1"/>
      <w:numFmt w:val="lowerRoman"/>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3">
    <w:nsid w:val="627E499A"/>
    <w:multiLevelType w:val="multilevel"/>
    <w:tmpl w:val="2AB6D722"/>
    <w:lvl w:ilvl="0">
      <w:start w:val="3"/>
      <w:numFmt w:val="decimal"/>
      <w:lvlText w:val="%1."/>
      <w:lvlJc w:val="left"/>
      <w:pPr>
        <w:tabs>
          <w:tab w:val="num" w:pos="360"/>
        </w:tabs>
        <w:ind w:left="360" w:hanging="360"/>
      </w:pPr>
    </w:lvl>
    <w:lvl w:ilvl="1">
      <w:start w:val="6"/>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63B0100D"/>
    <w:multiLevelType w:val="multilevel"/>
    <w:tmpl w:val="2FDA28E6"/>
    <w:lvl w:ilvl="0">
      <w:start w:val="3"/>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nsid w:val="66081FCF"/>
    <w:multiLevelType w:val="multilevel"/>
    <w:tmpl w:val="63E4C1A0"/>
    <w:lvl w:ilvl="0">
      <w:start w:val="3"/>
      <w:numFmt w:val="decimal"/>
      <w:lvlText w:val="%1."/>
      <w:lvlJc w:val="left"/>
      <w:pPr>
        <w:ind w:left="1170" w:hanging="450"/>
      </w:pPr>
      <w:rPr>
        <w:rFonts w:cs="Times New Roman"/>
      </w:rPr>
    </w:lvl>
    <w:lvl w:ilvl="1">
      <w:start w:val="10"/>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6">
    <w:nsid w:val="6942686E"/>
    <w:multiLevelType w:val="multilevel"/>
    <w:tmpl w:val="29A4BB7A"/>
    <w:lvl w:ilvl="0">
      <w:start w:val="3"/>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nsid w:val="695121C5"/>
    <w:multiLevelType w:val="multilevel"/>
    <w:tmpl w:val="F95E5688"/>
    <w:lvl w:ilvl="0">
      <w:start w:val="3"/>
      <w:numFmt w:val="decimal"/>
      <w:lvlText w:val="%1."/>
      <w:lvlJc w:val="left"/>
      <w:pPr>
        <w:tabs>
          <w:tab w:val="num" w:pos="360"/>
        </w:tabs>
        <w:ind w:left="360" w:hanging="360"/>
      </w:pPr>
      <w:rPr>
        <w:rFonts w:hint="default"/>
      </w:rPr>
    </w:lvl>
    <w:lvl w:ilvl="1">
      <w:start w:val="1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6A8C4C3C"/>
    <w:multiLevelType w:val="multilevel"/>
    <w:tmpl w:val="89AAA4A4"/>
    <w:lvl w:ilvl="0">
      <w:start w:val="3"/>
      <w:numFmt w:val="decimal"/>
      <w:lvlText w:val="%1."/>
      <w:lvlJc w:val="left"/>
      <w:pPr>
        <w:ind w:left="1170" w:hanging="450"/>
      </w:pPr>
      <w:rPr>
        <w:rFonts w:cs="Times New Roman" w:hint="default"/>
      </w:rPr>
    </w:lvl>
    <w:lvl w:ilvl="1">
      <w:start w:val="10"/>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6B655D80"/>
    <w:multiLevelType w:val="hybridMultilevel"/>
    <w:tmpl w:val="8DF8F588"/>
    <w:lvl w:ilvl="0" w:tplc="6736E37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884CB1"/>
    <w:multiLevelType w:val="multilevel"/>
    <w:tmpl w:val="885CCA3A"/>
    <w:lvl w:ilvl="0">
      <w:start w:val="3"/>
      <w:numFmt w:val="decimal"/>
      <w:lvlText w:val="%1."/>
      <w:lvlJc w:val="left"/>
      <w:pPr>
        <w:tabs>
          <w:tab w:val="num" w:pos="360"/>
        </w:tabs>
        <w:ind w:left="360" w:hanging="360"/>
      </w:pPr>
    </w:lvl>
    <w:lvl w:ilvl="1">
      <w:start w:val="9"/>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nsid w:val="763806E0"/>
    <w:multiLevelType w:val="multilevel"/>
    <w:tmpl w:val="BEDC6EFE"/>
    <w:lvl w:ilvl="0">
      <w:start w:val="3"/>
      <w:numFmt w:val="decimal"/>
      <w:lvlText w:val="%1."/>
      <w:lvlJc w:val="left"/>
      <w:pPr>
        <w:ind w:left="1170" w:hanging="450"/>
      </w:pPr>
      <w:rPr>
        <w:rFonts w:cs="Times New Roman"/>
      </w:rPr>
    </w:lvl>
    <w:lvl w:ilvl="1">
      <w:start w:val="10"/>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2">
    <w:nsid w:val="77E01B1C"/>
    <w:multiLevelType w:val="multilevel"/>
    <w:tmpl w:val="9D1019BE"/>
    <w:lvl w:ilvl="0">
      <w:start w:val="3"/>
      <w:numFmt w:val="decimal"/>
      <w:lvlText w:val="%1."/>
      <w:lvlJc w:val="left"/>
      <w:pPr>
        <w:ind w:left="1170" w:hanging="450"/>
      </w:pPr>
      <w:rPr>
        <w:rFonts w:cs="Times New Roman" w:hint="default"/>
      </w:rPr>
    </w:lvl>
    <w:lvl w:ilvl="1">
      <w:start w:val="5"/>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79E94574"/>
    <w:multiLevelType w:val="multilevel"/>
    <w:tmpl w:val="9D6A5436"/>
    <w:lvl w:ilvl="0">
      <w:start w:val="2"/>
      <w:numFmt w:val="decimal"/>
      <w:lvlText w:val="%1."/>
      <w:lvlJc w:val="left"/>
      <w:pPr>
        <w:ind w:left="1170" w:hanging="450"/>
      </w:pPr>
      <w:rPr>
        <w:rFonts w:cs="Times New Roman" w:hint="default"/>
      </w:rPr>
    </w:lvl>
    <w:lvl w:ilvl="1">
      <w:start w:val="10"/>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7B7175C8"/>
    <w:multiLevelType w:val="hybridMultilevel"/>
    <w:tmpl w:val="B9CC7A26"/>
    <w:lvl w:ilvl="0" w:tplc="2810369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6D3D4A"/>
    <w:multiLevelType w:val="hybridMultilevel"/>
    <w:tmpl w:val="0C685276"/>
    <w:lvl w:ilvl="0" w:tplc="45CE49A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8"/>
  </w:num>
  <w:num w:numId="3">
    <w:abstractNumId w:val="30"/>
  </w:num>
  <w:num w:numId="4">
    <w:abstractNumId w:val="25"/>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3"/>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8"/>
  </w:num>
  <w:num w:numId="19">
    <w:abstractNumId w:val="7"/>
  </w:num>
  <w:num w:numId="20">
    <w:abstractNumId w:val="6"/>
  </w:num>
  <w:num w:numId="21">
    <w:abstractNumId w:val="37"/>
  </w:num>
  <w:num w:numId="22">
    <w:abstractNumId w:val="4"/>
  </w:num>
  <w:num w:numId="23">
    <w:abstractNumId w:val="10"/>
  </w:num>
  <w:num w:numId="24">
    <w:abstractNumId w:val="43"/>
  </w:num>
  <w:num w:numId="25">
    <w:abstractNumId w:val="31"/>
  </w:num>
  <w:num w:numId="26">
    <w:abstractNumId w:val="0"/>
  </w:num>
  <w:num w:numId="27">
    <w:abstractNumId w:val="44"/>
  </w:num>
  <w:num w:numId="28">
    <w:abstractNumId w:val="23"/>
  </w:num>
  <w:num w:numId="29">
    <w:abstractNumId w:val="11"/>
  </w:num>
  <w:num w:numId="30">
    <w:abstractNumId w:val="41"/>
  </w:num>
  <w:num w:numId="31">
    <w:abstractNumId w:val="5"/>
  </w:num>
  <w:num w:numId="32">
    <w:abstractNumId w:val="14"/>
  </w:num>
  <w:num w:numId="33">
    <w:abstractNumId w:val="42"/>
  </w:num>
  <w:num w:numId="34">
    <w:abstractNumId w:val="38"/>
  </w:num>
  <w:num w:numId="35">
    <w:abstractNumId w:val="16"/>
  </w:num>
  <w:num w:numId="36">
    <w:abstractNumId w:val="12"/>
  </w:num>
  <w:num w:numId="37">
    <w:abstractNumId w:val="15"/>
  </w:num>
  <w:num w:numId="38">
    <w:abstractNumId w:val="17"/>
  </w:num>
  <w:num w:numId="39">
    <w:abstractNumId w:val="1"/>
  </w:num>
  <w:num w:numId="40">
    <w:abstractNumId w:val="32"/>
  </w:num>
  <w:num w:numId="41">
    <w:abstractNumId w:val="39"/>
  </w:num>
  <w:num w:numId="42">
    <w:abstractNumId w:val="24"/>
  </w:num>
  <w:num w:numId="43">
    <w:abstractNumId w:val="22"/>
  </w:num>
  <w:num w:numId="44">
    <w:abstractNumId w:val="29"/>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en-CA" w:vendorID="64" w:dllVersion="131078" w:nlCheck="1" w:checkStyle="1"/>
  <w:activeWritingStyle w:appName="MSWord" w:lang="en-US" w:vendorID="64" w:dllVersion="131078" w:nlCheck="1" w:checkStyle="1"/>
  <w:proofState w:spelling="clean" w:grammar="clean"/>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78"/>
    <w:rsid w:val="00000655"/>
    <w:rsid w:val="00001706"/>
    <w:rsid w:val="00001F4A"/>
    <w:rsid w:val="000024DC"/>
    <w:rsid w:val="0000272E"/>
    <w:rsid w:val="00003116"/>
    <w:rsid w:val="00003509"/>
    <w:rsid w:val="00003574"/>
    <w:rsid w:val="000035D9"/>
    <w:rsid w:val="00004341"/>
    <w:rsid w:val="00004FDE"/>
    <w:rsid w:val="0000500D"/>
    <w:rsid w:val="00005583"/>
    <w:rsid w:val="000069DE"/>
    <w:rsid w:val="00006A58"/>
    <w:rsid w:val="00007BD7"/>
    <w:rsid w:val="000100D8"/>
    <w:rsid w:val="000103DE"/>
    <w:rsid w:val="00010DCA"/>
    <w:rsid w:val="000118E3"/>
    <w:rsid w:val="00012543"/>
    <w:rsid w:val="000128E0"/>
    <w:rsid w:val="00012A96"/>
    <w:rsid w:val="00013B25"/>
    <w:rsid w:val="00013C5A"/>
    <w:rsid w:val="00013F44"/>
    <w:rsid w:val="00014314"/>
    <w:rsid w:val="00014323"/>
    <w:rsid w:val="00014E8F"/>
    <w:rsid w:val="00015031"/>
    <w:rsid w:val="0001562A"/>
    <w:rsid w:val="000158CC"/>
    <w:rsid w:val="00015BA2"/>
    <w:rsid w:val="0001772A"/>
    <w:rsid w:val="000178BA"/>
    <w:rsid w:val="00017A4A"/>
    <w:rsid w:val="00017DAA"/>
    <w:rsid w:val="0002032C"/>
    <w:rsid w:val="00020580"/>
    <w:rsid w:val="000206BE"/>
    <w:rsid w:val="00021738"/>
    <w:rsid w:val="000217EC"/>
    <w:rsid w:val="00021C33"/>
    <w:rsid w:val="00021F1F"/>
    <w:rsid w:val="00022507"/>
    <w:rsid w:val="00022537"/>
    <w:rsid w:val="00022BEA"/>
    <w:rsid w:val="0002351B"/>
    <w:rsid w:val="00023A44"/>
    <w:rsid w:val="00024831"/>
    <w:rsid w:val="00024F1B"/>
    <w:rsid w:val="000253FD"/>
    <w:rsid w:val="000254EE"/>
    <w:rsid w:val="000260DE"/>
    <w:rsid w:val="0002626C"/>
    <w:rsid w:val="0002639F"/>
    <w:rsid w:val="00026C9A"/>
    <w:rsid w:val="000278AA"/>
    <w:rsid w:val="000304E1"/>
    <w:rsid w:val="00031069"/>
    <w:rsid w:val="00031B7A"/>
    <w:rsid w:val="000323BD"/>
    <w:rsid w:val="0003344E"/>
    <w:rsid w:val="00033725"/>
    <w:rsid w:val="00033996"/>
    <w:rsid w:val="00033D79"/>
    <w:rsid w:val="000347C9"/>
    <w:rsid w:val="00035033"/>
    <w:rsid w:val="00035DCA"/>
    <w:rsid w:val="0003607C"/>
    <w:rsid w:val="000360FA"/>
    <w:rsid w:val="000363B0"/>
    <w:rsid w:val="00036968"/>
    <w:rsid w:val="00036EC4"/>
    <w:rsid w:val="00040611"/>
    <w:rsid w:val="0004146D"/>
    <w:rsid w:val="000436FF"/>
    <w:rsid w:val="000441C0"/>
    <w:rsid w:val="00044388"/>
    <w:rsid w:val="000472D9"/>
    <w:rsid w:val="00047639"/>
    <w:rsid w:val="0005115E"/>
    <w:rsid w:val="00052395"/>
    <w:rsid w:val="00052E12"/>
    <w:rsid w:val="0005368F"/>
    <w:rsid w:val="00053AC8"/>
    <w:rsid w:val="00054257"/>
    <w:rsid w:val="000545C9"/>
    <w:rsid w:val="00054BCC"/>
    <w:rsid w:val="00056541"/>
    <w:rsid w:val="00056D47"/>
    <w:rsid w:val="00057275"/>
    <w:rsid w:val="000579E5"/>
    <w:rsid w:val="00057DF0"/>
    <w:rsid w:val="00060677"/>
    <w:rsid w:val="000621F5"/>
    <w:rsid w:val="0006251C"/>
    <w:rsid w:val="000626A8"/>
    <w:rsid w:val="0006274F"/>
    <w:rsid w:val="00062D82"/>
    <w:rsid w:val="00062EE8"/>
    <w:rsid w:val="000639EE"/>
    <w:rsid w:val="00063B59"/>
    <w:rsid w:val="000642E2"/>
    <w:rsid w:val="000643B7"/>
    <w:rsid w:val="0006468B"/>
    <w:rsid w:val="00064D60"/>
    <w:rsid w:val="00064D67"/>
    <w:rsid w:val="00064E31"/>
    <w:rsid w:val="00066121"/>
    <w:rsid w:val="00066164"/>
    <w:rsid w:val="000668F4"/>
    <w:rsid w:val="00066B29"/>
    <w:rsid w:val="00066C89"/>
    <w:rsid w:val="00066CF3"/>
    <w:rsid w:val="00066EE0"/>
    <w:rsid w:val="0006764F"/>
    <w:rsid w:val="00067A42"/>
    <w:rsid w:val="00067C4C"/>
    <w:rsid w:val="000708E9"/>
    <w:rsid w:val="00070C47"/>
    <w:rsid w:val="00070D7B"/>
    <w:rsid w:val="00070EC4"/>
    <w:rsid w:val="00072539"/>
    <w:rsid w:val="0007289E"/>
    <w:rsid w:val="0007297A"/>
    <w:rsid w:val="0007313B"/>
    <w:rsid w:val="00073F33"/>
    <w:rsid w:val="00075F01"/>
    <w:rsid w:val="000767DB"/>
    <w:rsid w:val="0007782F"/>
    <w:rsid w:val="00080752"/>
    <w:rsid w:val="00080F1E"/>
    <w:rsid w:val="00081E33"/>
    <w:rsid w:val="00082056"/>
    <w:rsid w:val="0008238E"/>
    <w:rsid w:val="000829C8"/>
    <w:rsid w:val="00082F56"/>
    <w:rsid w:val="00083732"/>
    <w:rsid w:val="00084A04"/>
    <w:rsid w:val="00084A49"/>
    <w:rsid w:val="00085234"/>
    <w:rsid w:val="00085AD9"/>
    <w:rsid w:val="00087BBE"/>
    <w:rsid w:val="00087F2E"/>
    <w:rsid w:val="00090FF3"/>
    <w:rsid w:val="000912A5"/>
    <w:rsid w:val="00091489"/>
    <w:rsid w:val="000914DE"/>
    <w:rsid w:val="00091A87"/>
    <w:rsid w:val="00091A9F"/>
    <w:rsid w:val="000921AD"/>
    <w:rsid w:val="000931D3"/>
    <w:rsid w:val="0009323D"/>
    <w:rsid w:val="000932E8"/>
    <w:rsid w:val="000933E1"/>
    <w:rsid w:val="00093774"/>
    <w:rsid w:val="000939A8"/>
    <w:rsid w:val="000946F1"/>
    <w:rsid w:val="00094B85"/>
    <w:rsid w:val="00094F12"/>
    <w:rsid w:val="00095BF8"/>
    <w:rsid w:val="00095DA5"/>
    <w:rsid w:val="00096191"/>
    <w:rsid w:val="00096A91"/>
    <w:rsid w:val="0009743E"/>
    <w:rsid w:val="00097B19"/>
    <w:rsid w:val="000A0023"/>
    <w:rsid w:val="000A0286"/>
    <w:rsid w:val="000A03B5"/>
    <w:rsid w:val="000A0EC9"/>
    <w:rsid w:val="000A10EA"/>
    <w:rsid w:val="000A19CB"/>
    <w:rsid w:val="000A2211"/>
    <w:rsid w:val="000A2F91"/>
    <w:rsid w:val="000A55D6"/>
    <w:rsid w:val="000A5994"/>
    <w:rsid w:val="000A6AC8"/>
    <w:rsid w:val="000A6B17"/>
    <w:rsid w:val="000A73E5"/>
    <w:rsid w:val="000A784D"/>
    <w:rsid w:val="000A7A22"/>
    <w:rsid w:val="000B01B2"/>
    <w:rsid w:val="000B1842"/>
    <w:rsid w:val="000B1901"/>
    <w:rsid w:val="000B223A"/>
    <w:rsid w:val="000B2A6A"/>
    <w:rsid w:val="000B45E4"/>
    <w:rsid w:val="000B4F4D"/>
    <w:rsid w:val="000B5C92"/>
    <w:rsid w:val="000B6544"/>
    <w:rsid w:val="000B713B"/>
    <w:rsid w:val="000B7364"/>
    <w:rsid w:val="000C0041"/>
    <w:rsid w:val="000C2DAC"/>
    <w:rsid w:val="000C2ED8"/>
    <w:rsid w:val="000C380F"/>
    <w:rsid w:val="000C3A8E"/>
    <w:rsid w:val="000C44E4"/>
    <w:rsid w:val="000C4A1E"/>
    <w:rsid w:val="000C6D98"/>
    <w:rsid w:val="000D049E"/>
    <w:rsid w:val="000D1B08"/>
    <w:rsid w:val="000D2294"/>
    <w:rsid w:val="000D242D"/>
    <w:rsid w:val="000D29AE"/>
    <w:rsid w:val="000D324A"/>
    <w:rsid w:val="000D4372"/>
    <w:rsid w:val="000D4EA7"/>
    <w:rsid w:val="000D55D3"/>
    <w:rsid w:val="000D6657"/>
    <w:rsid w:val="000D6722"/>
    <w:rsid w:val="000D6771"/>
    <w:rsid w:val="000D6D0A"/>
    <w:rsid w:val="000D7828"/>
    <w:rsid w:val="000E05BD"/>
    <w:rsid w:val="000E0697"/>
    <w:rsid w:val="000E0AB4"/>
    <w:rsid w:val="000E1AF8"/>
    <w:rsid w:val="000E218B"/>
    <w:rsid w:val="000E2273"/>
    <w:rsid w:val="000E262C"/>
    <w:rsid w:val="000E2823"/>
    <w:rsid w:val="000E2DDE"/>
    <w:rsid w:val="000E3A06"/>
    <w:rsid w:val="000E47DB"/>
    <w:rsid w:val="000E490E"/>
    <w:rsid w:val="000E51A4"/>
    <w:rsid w:val="000E51BD"/>
    <w:rsid w:val="000E51DF"/>
    <w:rsid w:val="000E65A4"/>
    <w:rsid w:val="000E65B3"/>
    <w:rsid w:val="000E72BF"/>
    <w:rsid w:val="000E7C1C"/>
    <w:rsid w:val="000F2E17"/>
    <w:rsid w:val="000F3581"/>
    <w:rsid w:val="000F3A2F"/>
    <w:rsid w:val="000F3F69"/>
    <w:rsid w:val="000F4792"/>
    <w:rsid w:val="000F4D05"/>
    <w:rsid w:val="000F5A88"/>
    <w:rsid w:val="000F5AC0"/>
    <w:rsid w:val="000F7600"/>
    <w:rsid w:val="000F7753"/>
    <w:rsid w:val="001003F3"/>
    <w:rsid w:val="00101212"/>
    <w:rsid w:val="00101750"/>
    <w:rsid w:val="00101C2B"/>
    <w:rsid w:val="00101EAC"/>
    <w:rsid w:val="00102C22"/>
    <w:rsid w:val="00102FD4"/>
    <w:rsid w:val="001035CD"/>
    <w:rsid w:val="0010376E"/>
    <w:rsid w:val="001038B3"/>
    <w:rsid w:val="00103E6A"/>
    <w:rsid w:val="00103F15"/>
    <w:rsid w:val="00104A32"/>
    <w:rsid w:val="0010588F"/>
    <w:rsid w:val="00105A43"/>
    <w:rsid w:val="00105EFC"/>
    <w:rsid w:val="00110172"/>
    <w:rsid w:val="001103AE"/>
    <w:rsid w:val="001122A7"/>
    <w:rsid w:val="00112839"/>
    <w:rsid w:val="0011298F"/>
    <w:rsid w:val="001148B8"/>
    <w:rsid w:val="00114D0F"/>
    <w:rsid w:val="00114E60"/>
    <w:rsid w:val="00115BEF"/>
    <w:rsid w:val="00115E32"/>
    <w:rsid w:val="00116B73"/>
    <w:rsid w:val="00116F56"/>
    <w:rsid w:val="001172D9"/>
    <w:rsid w:val="001176F4"/>
    <w:rsid w:val="00120771"/>
    <w:rsid w:val="00120BD3"/>
    <w:rsid w:val="001219DE"/>
    <w:rsid w:val="00122BEE"/>
    <w:rsid w:val="001235F5"/>
    <w:rsid w:val="00123CC7"/>
    <w:rsid w:val="00124075"/>
    <w:rsid w:val="00125344"/>
    <w:rsid w:val="00125EB1"/>
    <w:rsid w:val="0012633D"/>
    <w:rsid w:val="00126880"/>
    <w:rsid w:val="0012741A"/>
    <w:rsid w:val="00127B63"/>
    <w:rsid w:val="00131ACB"/>
    <w:rsid w:val="00131F12"/>
    <w:rsid w:val="00132287"/>
    <w:rsid w:val="001327EE"/>
    <w:rsid w:val="00132CA6"/>
    <w:rsid w:val="00132EAB"/>
    <w:rsid w:val="00133528"/>
    <w:rsid w:val="0013383C"/>
    <w:rsid w:val="0013497B"/>
    <w:rsid w:val="00134A30"/>
    <w:rsid w:val="00134F0C"/>
    <w:rsid w:val="00134FB9"/>
    <w:rsid w:val="001353EB"/>
    <w:rsid w:val="00135FEF"/>
    <w:rsid w:val="00136F59"/>
    <w:rsid w:val="0014023A"/>
    <w:rsid w:val="00140569"/>
    <w:rsid w:val="00140712"/>
    <w:rsid w:val="00140957"/>
    <w:rsid w:val="00140C68"/>
    <w:rsid w:val="00141116"/>
    <w:rsid w:val="00141537"/>
    <w:rsid w:val="00142C2F"/>
    <w:rsid w:val="00143514"/>
    <w:rsid w:val="001440A3"/>
    <w:rsid w:val="00144C0C"/>
    <w:rsid w:val="00146569"/>
    <w:rsid w:val="00146A37"/>
    <w:rsid w:val="00146C13"/>
    <w:rsid w:val="00146F75"/>
    <w:rsid w:val="001472FA"/>
    <w:rsid w:val="00147F83"/>
    <w:rsid w:val="00151CDE"/>
    <w:rsid w:val="00152DF8"/>
    <w:rsid w:val="0015372D"/>
    <w:rsid w:val="001538C6"/>
    <w:rsid w:val="001547EB"/>
    <w:rsid w:val="00154BB5"/>
    <w:rsid w:val="001557C6"/>
    <w:rsid w:val="00156E15"/>
    <w:rsid w:val="00157242"/>
    <w:rsid w:val="001572A5"/>
    <w:rsid w:val="0015759A"/>
    <w:rsid w:val="00157F7B"/>
    <w:rsid w:val="0016043E"/>
    <w:rsid w:val="00160A1F"/>
    <w:rsid w:val="00160AEB"/>
    <w:rsid w:val="001613A0"/>
    <w:rsid w:val="001615EF"/>
    <w:rsid w:val="001618BE"/>
    <w:rsid w:val="0016190C"/>
    <w:rsid w:val="001619AE"/>
    <w:rsid w:val="00161B43"/>
    <w:rsid w:val="001621C1"/>
    <w:rsid w:val="00163A99"/>
    <w:rsid w:val="001647F3"/>
    <w:rsid w:val="00165A77"/>
    <w:rsid w:val="00166E86"/>
    <w:rsid w:val="00166EAE"/>
    <w:rsid w:val="0016744C"/>
    <w:rsid w:val="00167875"/>
    <w:rsid w:val="0017108A"/>
    <w:rsid w:val="00171FBE"/>
    <w:rsid w:val="00172105"/>
    <w:rsid w:val="0017295D"/>
    <w:rsid w:val="0017322F"/>
    <w:rsid w:val="00173427"/>
    <w:rsid w:val="0017388F"/>
    <w:rsid w:val="00174031"/>
    <w:rsid w:val="001741D6"/>
    <w:rsid w:val="001748C1"/>
    <w:rsid w:val="00175277"/>
    <w:rsid w:val="001753CF"/>
    <w:rsid w:val="0017606D"/>
    <w:rsid w:val="00176A45"/>
    <w:rsid w:val="00176D5F"/>
    <w:rsid w:val="00177311"/>
    <w:rsid w:val="00180148"/>
    <w:rsid w:val="001805CE"/>
    <w:rsid w:val="001807FC"/>
    <w:rsid w:val="001813FF"/>
    <w:rsid w:val="00182234"/>
    <w:rsid w:val="00182972"/>
    <w:rsid w:val="00183438"/>
    <w:rsid w:val="00184187"/>
    <w:rsid w:val="00184FEF"/>
    <w:rsid w:val="0018542F"/>
    <w:rsid w:val="00185EB6"/>
    <w:rsid w:val="00185F0E"/>
    <w:rsid w:val="001902D8"/>
    <w:rsid w:val="00190343"/>
    <w:rsid w:val="0019135C"/>
    <w:rsid w:val="00191EE4"/>
    <w:rsid w:val="00192755"/>
    <w:rsid w:val="00192CAD"/>
    <w:rsid w:val="001937DF"/>
    <w:rsid w:val="001938BE"/>
    <w:rsid w:val="001942B4"/>
    <w:rsid w:val="00194C8E"/>
    <w:rsid w:val="001A0408"/>
    <w:rsid w:val="001A0A57"/>
    <w:rsid w:val="001A1808"/>
    <w:rsid w:val="001A32D3"/>
    <w:rsid w:val="001A381B"/>
    <w:rsid w:val="001A3B10"/>
    <w:rsid w:val="001A3BA7"/>
    <w:rsid w:val="001A42A1"/>
    <w:rsid w:val="001A4409"/>
    <w:rsid w:val="001A49D9"/>
    <w:rsid w:val="001A57C2"/>
    <w:rsid w:val="001A5826"/>
    <w:rsid w:val="001A5880"/>
    <w:rsid w:val="001A5D88"/>
    <w:rsid w:val="001A64AB"/>
    <w:rsid w:val="001A6E13"/>
    <w:rsid w:val="001A77FF"/>
    <w:rsid w:val="001A79F6"/>
    <w:rsid w:val="001B0155"/>
    <w:rsid w:val="001B0442"/>
    <w:rsid w:val="001B2761"/>
    <w:rsid w:val="001B30CC"/>
    <w:rsid w:val="001B37E9"/>
    <w:rsid w:val="001B3D39"/>
    <w:rsid w:val="001B4228"/>
    <w:rsid w:val="001B44AB"/>
    <w:rsid w:val="001B503F"/>
    <w:rsid w:val="001B54B8"/>
    <w:rsid w:val="001B58AD"/>
    <w:rsid w:val="001B5D5F"/>
    <w:rsid w:val="001B642B"/>
    <w:rsid w:val="001B6E12"/>
    <w:rsid w:val="001B74A7"/>
    <w:rsid w:val="001B7EDF"/>
    <w:rsid w:val="001B7F1A"/>
    <w:rsid w:val="001C0504"/>
    <w:rsid w:val="001C0B5B"/>
    <w:rsid w:val="001C22CC"/>
    <w:rsid w:val="001C2C6A"/>
    <w:rsid w:val="001C43F6"/>
    <w:rsid w:val="001C4478"/>
    <w:rsid w:val="001C6005"/>
    <w:rsid w:val="001C66EE"/>
    <w:rsid w:val="001C6A04"/>
    <w:rsid w:val="001C6EF4"/>
    <w:rsid w:val="001C7845"/>
    <w:rsid w:val="001C7945"/>
    <w:rsid w:val="001C7B34"/>
    <w:rsid w:val="001D002F"/>
    <w:rsid w:val="001D12C6"/>
    <w:rsid w:val="001D1879"/>
    <w:rsid w:val="001D2380"/>
    <w:rsid w:val="001D23D0"/>
    <w:rsid w:val="001D2DE3"/>
    <w:rsid w:val="001D35E3"/>
    <w:rsid w:val="001D3EE2"/>
    <w:rsid w:val="001D41E2"/>
    <w:rsid w:val="001D42D8"/>
    <w:rsid w:val="001D4BEE"/>
    <w:rsid w:val="001D55F4"/>
    <w:rsid w:val="001D5FDA"/>
    <w:rsid w:val="001D68C4"/>
    <w:rsid w:val="001D69D9"/>
    <w:rsid w:val="001D6D8B"/>
    <w:rsid w:val="001D7DF6"/>
    <w:rsid w:val="001E058B"/>
    <w:rsid w:val="001E0CD1"/>
    <w:rsid w:val="001E29D1"/>
    <w:rsid w:val="001E3BB7"/>
    <w:rsid w:val="001E433F"/>
    <w:rsid w:val="001E4488"/>
    <w:rsid w:val="001E49E7"/>
    <w:rsid w:val="001E51F8"/>
    <w:rsid w:val="001E564A"/>
    <w:rsid w:val="001E5916"/>
    <w:rsid w:val="001E5E79"/>
    <w:rsid w:val="001E5FF7"/>
    <w:rsid w:val="001E6D5E"/>
    <w:rsid w:val="001F03D6"/>
    <w:rsid w:val="001F060F"/>
    <w:rsid w:val="001F0F83"/>
    <w:rsid w:val="001F2257"/>
    <w:rsid w:val="001F225A"/>
    <w:rsid w:val="001F22E4"/>
    <w:rsid w:val="001F24CC"/>
    <w:rsid w:val="001F297B"/>
    <w:rsid w:val="001F2A6A"/>
    <w:rsid w:val="001F338D"/>
    <w:rsid w:val="001F347B"/>
    <w:rsid w:val="001F44E6"/>
    <w:rsid w:val="001F45C6"/>
    <w:rsid w:val="001F508D"/>
    <w:rsid w:val="001F53BD"/>
    <w:rsid w:val="001F56AD"/>
    <w:rsid w:val="001F5988"/>
    <w:rsid w:val="001F5FF8"/>
    <w:rsid w:val="001F65AF"/>
    <w:rsid w:val="001F6D0F"/>
    <w:rsid w:val="001F6D79"/>
    <w:rsid w:val="001F785B"/>
    <w:rsid w:val="001F7999"/>
    <w:rsid w:val="002000D9"/>
    <w:rsid w:val="0020016C"/>
    <w:rsid w:val="00201FFF"/>
    <w:rsid w:val="00203C6A"/>
    <w:rsid w:val="00203F24"/>
    <w:rsid w:val="0020576A"/>
    <w:rsid w:val="00205BBC"/>
    <w:rsid w:val="00205C12"/>
    <w:rsid w:val="00205D1D"/>
    <w:rsid w:val="002064F3"/>
    <w:rsid w:val="002065FC"/>
    <w:rsid w:val="00206A11"/>
    <w:rsid w:val="00206B3B"/>
    <w:rsid w:val="00206BB2"/>
    <w:rsid w:val="00207F33"/>
    <w:rsid w:val="00210DBA"/>
    <w:rsid w:val="002137ED"/>
    <w:rsid w:val="00214EED"/>
    <w:rsid w:val="00215601"/>
    <w:rsid w:val="00215B9D"/>
    <w:rsid w:val="002168EB"/>
    <w:rsid w:val="00216B50"/>
    <w:rsid w:val="0022006E"/>
    <w:rsid w:val="002208A4"/>
    <w:rsid w:val="00220A1E"/>
    <w:rsid w:val="00220AA5"/>
    <w:rsid w:val="0022109F"/>
    <w:rsid w:val="0022124D"/>
    <w:rsid w:val="00221574"/>
    <w:rsid w:val="00221EEF"/>
    <w:rsid w:val="0022206A"/>
    <w:rsid w:val="0022287C"/>
    <w:rsid w:val="00222D59"/>
    <w:rsid w:val="00222F87"/>
    <w:rsid w:val="0022374E"/>
    <w:rsid w:val="002237D8"/>
    <w:rsid w:val="00224286"/>
    <w:rsid w:val="0022618F"/>
    <w:rsid w:val="002262FF"/>
    <w:rsid w:val="00226B0A"/>
    <w:rsid w:val="002270D7"/>
    <w:rsid w:val="00227473"/>
    <w:rsid w:val="00227567"/>
    <w:rsid w:val="00227CD2"/>
    <w:rsid w:val="00231F2E"/>
    <w:rsid w:val="002320B4"/>
    <w:rsid w:val="0023224B"/>
    <w:rsid w:val="00233136"/>
    <w:rsid w:val="00233D50"/>
    <w:rsid w:val="00234EDA"/>
    <w:rsid w:val="00234F42"/>
    <w:rsid w:val="002359B0"/>
    <w:rsid w:val="00235F99"/>
    <w:rsid w:val="00236DE1"/>
    <w:rsid w:val="00236EBC"/>
    <w:rsid w:val="00236EC9"/>
    <w:rsid w:val="00237FB3"/>
    <w:rsid w:val="00240799"/>
    <w:rsid w:val="00240C1D"/>
    <w:rsid w:val="00240F3C"/>
    <w:rsid w:val="0024165B"/>
    <w:rsid w:val="0024215F"/>
    <w:rsid w:val="00242AA7"/>
    <w:rsid w:val="00242B83"/>
    <w:rsid w:val="00242FFB"/>
    <w:rsid w:val="002437F4"/>
    <w:rsid w:val="00243D9D"/>
    <w:rsid w:val="002440B8"/>
    <w:rsid w:val="002440E9"/>
    <w:rsid w:val="00245317"/>
    <w:rsid w:val="002457E5"/>
    <w:rsid w:val="00245D86"/>
    <w:rsid w:val="00245EDE"/>
    <w:rsid w:val="002465D7"/>
    <w:rsid w:val="0025199D"/>
    <w:rsid w:val="0025588A"/>
    <w:rsid w:val="00255A8F"/>
    <w:rsid w:val="00255E8A"/>
    <w:rsid w:val="00255F11"/>
    <w:rsid w:val="00257A02"/>
    <w:rsid w:val="002607B2"/>
    <w:rsid w:val="002618D4"/>
    <w:rsid w:val="002622B5"/>
    <w:rsid w:val="00262AAF"/>
    <w:rsid w:val="00263442"/>
    <w:rsid w:val="00263E0C"/>
    <w:rsid w:val="00265CDA"/>
    <w:rsid w:val="00266034"/>
    <w:rsid w:val="0026607A"/>
    <w:rsid w:val="002672B3"/>
    <w:rsid w:val="00267CA0"/>
    <w:rsid w:val="0027023B"/>
    <w:rsid w:val="0027160C"/>
    <w:rsid w:val="00271895"/>
    <w:rsid w:val="00271E4B"/>
    <w:rsid w:val="0027223C"/>
    <w:rsid w:val="00272419"/>
    <w:rsid w:val="00272DEC"/>
    <w:rsid w:val="002730A1"/>
    <w:rsid w:val="002732C3"/>
    <w:rsid w:val="00273416"/>
    <w:rsid w:val="00274E6B"/>
    <w:rsid w:val="00275B6D"/>
    <w:rsid w:val="00275D34"/>
    <w:rsid w:val="0027691F"/>
    <w:rsid w:val="00277DC4"/>
    <w:rsid w:val="00280376"/>
    <w:rsid w:val="00280660"/>
    <w:rsid w:val="00280766"/>
    <w:rsid w:val="00281699"/>
    <w:rsid w:val="00281D1B"/>
    <w:rsid w:val="00281F3A"/>
    <w:rsid w:val="00282BCA"/>
    <w:rsid w:val="002837F8"/>
    <w:rsid w:val="002839E4"/>
    <w:rsid w:val="002839ED"/>
    <w:rsid w:val="00283F13"/>
    <w:rsid w:val="00284A34"/>
    <w:rsid w:val="00285060"/>
    <w:rsid w:val="00285273"/>
    <w:rsid w:val="00285654"/>
    <w:rsid w:val="002858A2"/>
    <w:rsid w:val="00285908"/>
    <w:rsid w:val="00286143"/>
    <w:rsid w:val="0028676B"/>
    <w:rsid w:val="002869C9"/>
    <w:rsid w:val="0028763E"/>
    <w:rsid w:val="0028772C"/>
    <w:rsid w:val="0028795C"/>
    <w:rsid w:val="00287E94"/>
    <w:rsid w:val="00290432"/>
    <w:rsid w:val="00290AE4"/>
    <w:rsid w:val="00290B92"/>
    <w:rsid w:val="00290F2F"/>
    <w:rsid w:val="0029136B"/>
    <w:rsid w:val="00291C9B"/>
    <w:rsid w:val="00292C0B"/>
    <w:rsid w:val="00292E3C"/>
    <w:rsid w:val="00293399"/>
    <w:rsid w:val="00294378"/>
    <w:rsid w:val="00295230"/>
    <w:rsid w:val="00295574"/>
    <w:rsid w:val="0029608B"/>
    <w:rsid w:val="0029638A"/>
    <w:rsid w:val="002978AC"/>
    <w:rsid w:val="002A0469"/>
    <w:rsid w:val="002A0C7F"/>
    <w:rsid w:val="002A2878"/>
    <w:rsid w:val="002A2D4F"/>
    <w:rsid w:val="002A3306"/>
    <w:rsid w:val="002A3C99"/>
    <w:rsid w:val="002A4F67"/>
    <w:rsid w:val="002A7303"/>
    <w:rsid w:val="002A75E0"/>
    <w:rsid w:val="002A7852"/>
    <w:rsid w:val="002A7EEC"/>
    <w:rsid w:val="002B0C4A"/>
    <w:rsid w:val="002B0FEA"/>
    <w:rsid w:val="002B148E"/>
    <w:rsid w:val="002B163E"/>
    <w:rsid w:val="002B2978"/>
    <w:rsid w:val="002B2AE6"/>
    <w:rsid w:val="002B303F"/>
    <w:rsid w:val="002B3E5F"/>
    <w:rsid w:val="002B4B74"/>
    <w:rsid w:val="002B4D0B"/>
    <w:rsid w:val="002B5149"/>
    <w:rsid w:val="002B596A"/>
    <w:rsid w:val="002B5E8D"/>
    <w:rsid w:val="002B660F"/>
    <w:rsid w:val="002B6C02"/>
    <w:rsid w:val="002C01CB"/>
    <w:rsid w:val="002C0A52"/>
    <w:rsid w:val="002C0B1C"/>
    <w:rsid w:val="002C0DBE"/>
    <w:rsid w:val="002C0F47"/>
    <w:rsid w:val="002C139C"/>
    <w:rsid w:val="002C1BE2"/>
    <w:rsid w:val="002C2820"/>
    <w:rsid w:val="002C34DD"/>
    <w:rsid w:val="002C358C"/>
    <w:rsid w:val="002C39BD"/>
    <w:rsid w:val="002C39D6"/>
    <w:rsid w:val="002C5039"/>
    <w:rsid w:val="002C5A5F"/>
    <w:rsid w:val="002C5D5F"/>
    <w:rsid w:val="002C62EC"/>
    <w:rsid w:val="002C67A6"/>
    <w:rsid w:val="002C6D5D"/>
    <w:rsid w:val="002C71E3"/>
    <w:rsid w:val="002C7529"/>
    <w:rsid w:val="002C7E60"/>
    <w:rsid w:val="002D0331"/>
    <w:rsid w:val="002D0FA9"/>
    <w:rsid w:val="002D1D54"/>
    <w:rsid w:val="002D26E2"/>
    <w:rsid w:val="002D30B0"/>
    <w:rsid w:val="002D3B1C"/>
    <w:rsid w:val="002D4212"/>
    <w:rsid w:val="002D467E"/>
    <w:rsid w:val="002D4B0A"/>
    <w:rsid w:val="002D67FE"/>
    <w:rsid w:val="002D6874"/>
    <w:rsid w:val="002D7DF2"/>
    <w:rsid w:val="002E014A"/>
    <w:rsid w:val="002E05FB"/>
    <w:rsid w:val="002E0869"/>
    <w:rsid w:val="002E0B33"/>
    <w:rsid w:val="002E12E0"/>
    <w:rsid w:val="002E1EE6"/>
    <w:rsid w:val="002E1FC7"/>
    <w:rsid w:val="002E3216"/>
    <w:rsid w:val="002E3470"/>
    <w:rsid w:val="002E3B1C"/>
    <w:rsid w:val="002E44B1"/>
    <w:rsid w:val="002E486D"/>
    <w:rsid w:val="002E5854"/>
    <w:rsid w:val="002E6C02"/>
    <w:rsid w:val="002E7778"/>
    <w:rsid w:val="002F0309"/>
    <w:rsid w:val="002F1007"/>
    <w:rsid w:val="002F14CE"/>
    <w:rsid w:val="002F2667"/>
    <w:rsid w:val="002F292F"/>
    <w:rsid w:val="002F2971"/>
    <w:rsid w:val="002F2E59"/>
    <w:rsid w:val="002F3E62"/>
    <w:rsid w:val="002F405A"/>
    <w:rsid w:val="002F422B"/>
    <w:rsid w:val="002F4690"/>
    <w:rsid w:val="002F5D39"/>
    <w:rsid w:val="00300BF6"/>
    <w:rsid w:val="003015FA"/>
    <w:rsid w:val="003017AD"/>
    <w:rsid w:val="003023A5"/>
    <w:rsid w:val="003030DC"/>
    <w:rsid w:val="003031D3"/>
    <w:rsid w:val="00303605"/>
    <w:rsid w:val="00303FF1"/>
    <w:rsid w:val="00305534"/>
    <w:rsid w:val="003056BE"/>
    <w:rsid w:val="003063C0"/>
    <w:rsid w:val="00306746"/>
    <w:rsid w:val="00306C5A"/>
    <w:rsid w:val="00307827"/>
    <w:rsid w:val="00307844"/>
    <w:rsid w:val="00310075"/>
    <w:rsid w:val="00310C31"/>
    <w:rsid w:val="00311526"/>
    <w:rsid w:val="0031199D"/>
    <w:rsid w:val="00312618"/>
    <w:rsid w:val="00313A8A"/>
    <w:rsid w:val="00313D67"/>
    <w:rsid w:val="003142DB"/>
    <w:rsid w:val="00314CEE"/>
    <w:rsid w:val="00314F7C"/>
    <w:rsid w:val="00315068"/>
    <w:rsid w:val="003153DF"/>
    <w:rsid w:val="003156F4"/>
    <w:rsid w:val="00315EED"/>
    <w:rsid w:val="00316C94"/>
    <w:rsid w:val="00316E1B"/>
    <w:rsid w:val="00317D7C"/>
    <w:rsid w:val="00317EE5"/>
    <w:rsid w:val="00317F32"/>
    <w:rsid w:val="0032112F"/>
    <w:rsid w:val="003217DD"/>
    <w:rsid w:val="003220C4"/>
    <w:rsid w:val="00322832"/>
    <w:rsid w:val="0032289E"/>
    <w:rsid w:val="0032290C"/>
    <w:rsid w:val="0032290F"/>
    <w:rsid w:val="00322C68"/>
    <w:rsid w:val="00322DF8"/>
    <w:rsid w:val="003241C2"/>
    <w:rsid w:val="00324EEF"/>
    <w:rsid w:val="00325299"/>
    <w:rsid w:val="00325F95"/>
    <w:rsid w:val="003275E2"/>
    <w:rsid w:val="0033023C"/>
    <w:rsid w:val="00330747"/>
    <w:rsid w:val="00331A2F"/>
    <w:rsid w:val="00332314"/>
    <w:rsid w:val="00332974"/>
    <w:rsid w:val="0033340E"/>
    <w:rsid w:val="00333589"/>
    <w:rsid w:val="003337C7"/>
    <w:rsid w:val="00333A3C"/>
    <w:rsid w:val="00333DA4"/>
    <w:rsid w:val="00334F31"/>
    <w:rsid w:val="003353CC"/>
    <w:rsid w:val="0033582D"/>
    <w:rsid w:val="00336CC2"/>
    <w:rsid w:val="003374B5"/>
    <w:rsid w:val="00337C04"/>
    <w:rsid w:val="00340633"/>
    <w:rsid w:val="003420B0"/>
    <w:rsid w:val="00343128"/>
    <w:rsid w:val="00343770"/>
    <w:rsid w:val="00343BBA"/>
    <w:rsid w:val="00344555"/>
    <w:rsid w:val="00344B76"/>
    <w:rsid w:val="0034508D"/>
    <w:rsid w:val="00345BB8"/>
    <w:rsid w:val="003463FD"/>
    <w:rsid w:val="0034642D"/>
    <w:rsid w:val="0034683F"/>
    <w:rsid w:val="00346DC7"/>
    <w:rsid w:val="00350611"/>
    <w:rsid w:val="0035065F"/>
    <w:rsid w:val="003506D5"/>
    <w:rsid w:val="00351AC3"/>
    <w:rsid w:val="00351EA6"/>
    <w:rsid w:val="003539C6"/>
    <w:rsid w:val="00353E05"/>
    <w:rsid w:val="003545DE"/>
    <w:rsid w:val="00354BC3"/>
    <w:rsid w:val="003559FF"/>
    <w:rsid w:val="00356797"/>
    <w:rsid w:val="00356C26"/>
    <w:rsid w:val="00357D03"/>
    <w:rsid w:val="00360647"/>
    <w:rsid w:val="0036134E"/>
    <w:rsid w:val="0036221B"/>
    <w:rsid w:val="00362B41"/>
    <w:rsid w:val="00362C23"/>
    <w:rsid w:val="0036393D"/>
    <w:rsid w:val="00363A43"/>
    <w:rsid w:val="00363A80"/>
    <w:rsid w:val="003646CA"/>
    <w:rsid w:val="00364A02"/>
    <w:rsid w:val="00365B82"/>
    <w:rsid w:val="00367656"/>
    <w:rsid w:val="003704F4"/>
    <w:rsid w:val="0037103A"/>
    <w:rsid w:val="00371649"/>
    <w:rsid w:val="00371E03"/>
    <w:rsid w:val="00372333"/>
    <w:rsid w:val="0037250D"/>
    <w:rsid w:val="003727E5"/>
    <w:rsid w:val="003737B9"/>
    <w:rsid w:val="00377450"/>
    <w:rsid w:val="003776DE"/>
    <w:rsid w:val="0038125C"/>
    <w:rsid w:val="00381624"/>
    <w:rsid w:val="00382DF7"/>
    <w:rsid w:val="00382E81"/>
    <w:rsid w:val="00383138"/>
    <w:rsid w:val="0038356F"/>
    <w:rsid w:val="00383995"/>
    <w:rsid w:val="0038452F"/>
    <w:rsid w:val="00385EB9"/>
    <w:rsid w:val="00386B3B"/>
    <w:rsid w:val="00387387"/>
    <w:rsid w:val="0039043D"/>
    <w:rsid w:val="0039126F"/>
    <w:rsid w:val="003913B1"/>
    <w:rsid w:val="00392018"/>
    <w:rsid w:val="003929F6"/>
    <w:rsid w:val="0039506D"/>
    <w:rsid w:val="003952A9"/>
    <w:rsid w:val="003955C2"/>
    <w:rsid w:val="003958D3"/>
    <w:rsid w:val="0039594D"/>
    <w:rsid w:val="00397799"/>
    <w:rsid w:val="003978EF"/>
    <w:rsid w:val="00397EB7"/>
    <w:rsid w:val="003A145E"/>
    <w:rsid w:val="003A160B"/>
    <w:rsid w:val="003A1D49"/>
    <w:rsid w:val="003A2490"/>
    <w:rsid w:val="003A25F1"/>
    <w:rsid w:val="003A3A26"/>
    <w:rsid w:val="003A3D75"/>
    <w:rsid w:val="003A3F5C"/>
    <w:rsid w:val="003A426F"/>
    <w:rsid w:val="003A4E49"/>
    <w:rsid w:val="003A52BC"/>
    <w:rsid w:val="003A58B0"/>
    <w:rsid w:val="003A59D4"/>
    <w:rsid w:val="003A5B14"/>
    <w:rsid w:val="003A6CCA"/>
    <w:rsid w:val="003A702B"/>
    <w:rsid w:val="003A782C"/>
    <w:rsid w:val="003B0389"/>
    <w:rsid w:val="003B04BF"/>
    <w:rsid w:val="003B1D76"/>
    <w:rsid w:val="003B21B4"/>
    <w:rsid w:val="003B2572"/>
    <w:rsid w:val="003B2A6B"/>
    <w:rsid w:val="003B3463"/>
    <w:rsid w:val="003B3B80"/>
    <w:rsid w:val="003B3CD6"/>
    <w:rsid w:val="003B3D18"/>
    <w:rsid w:val="003B3D91"/>
    <w:rsid w:val="003B3E3B"/>
    <w:rsid w:val="003B4615"/>
    <w:rsid w:val="003B46E0"/>
    <w:rsid w:val="003B48A3"/>
    <w:rsid w:val="003B5C58"/>
    <w:rsid w:val="003B663F"/>
    <w:rsid w:val="003B6B9A"/>
    <w:rsid w:val="003B7267"/>
    <w:rsid w:val="003B7437"/>
    <w:rsid w:val="003B7662"/>
    <w:rsid w:val="003B767B"/>
    <w:rsid w:val="003C0257"/>
    <w:rsid w:val="003C0504"/>
    <w:rsid w:val="003C1762"/>
    <w:rsid w:val="003C1B56"/>
    <w:rsid w:val="003C1F20"/>
    <w:rsid w:val="003C2D13"/>
    <w:rsid w:val="003C44DC"/>
    <w:rsid w:val="003C4894"/>
    <w:rsid w:val="003C4992"/>
    <w:rsid w:val="003C58C4"/>
    <w:rsid w:val="003C5DD1"/>
    <w:rsid w:val="003C605F"/>
    <w:rsid w:val="003D02A6"/>
    <w:rsid w:val="003D0420"/>
    <w:rsid w:val="003D05E1"/>
    <w:rsid w:val="003D0638"/>
    <w:rsid w:val="003D094D"/>
    <w:rsid w:val="003D0A26"/>
    <w:rsid w:val="003D0AB2"/>
    <w:rsid w:val="003D1B71"/>
    <w:rsid w:val="003D1F46"/>
    <w:rsid w:val="003D231B"/>
    <w:rsid w:val="003D43E9"/>
    <w:rsid w:val="003D54E5"/>
    <w:rsid w:val="003D5FC8"/>
    <w:rsid w:val="003D6211"/>
    <w:rsid w:val="003D630D"/>
    <w:rsid w:val="003D6312"/>
    <w:rsid w:val="003D651E"/>
    <w:rsid w:val="003D657F"/>
    <w:rsid w:val="003D6B4A"/>
    <w:rsid w:val="003D7F5E"/>
    <w:rsid w:val="003E1102"/>
    <w:rsid w:val="003E1247"/>
    <w:rsid w:val="003E1E5A"/>
    <w:rsid w:val="003E38C8"/>
    <w:rsid w:val="003E3B8D"/>
    <w:rsid w:val="003E3F91"/>
    <w:rsid w:val="003E4CA7"/>
    <w:rsid w:val="003E52EC"/>
    <w:rsid w:val="003E5448"/>
    <w:rsid w:val="003E5510"/>
    <w:rsid w:val="003E55F2"/>
    <w:rsid w:val="003E5761"/>
    <w:rsid w:val="003E5C71"/>
    <w:rsid w:val="003E61E9"/>
    <w:rsid w:val="003E6745"/>
    <w:rsid w:val="003E7035"/>
    <w:rsid w:val="003E79BB"/>
    <w:rsid w:val="003E7A0D"/>
    <w:rsid w:val="003F07E1"/>
    <w:rsid w:val="003F0BD6"/>
    <w:rsid w:val="003F1FD5"/>
    <w:rsid w:val="003F313B"/>
    <w:rsid w:val="003F315F"/>
    <w:rsid w:val="003F31CF"/>
    <w:rsid w:val="003F33AB"/>
    <w:rsid w:val="003F34B7"/>
    <w:rsid w:val="003F34CA"/>
    <w:rsid w:val="003F3826"/>
    <w:rsid w:val="003F38C1"/>
    <w:rsid w:val="003F3E06"/>
    <w:rsid w:val="003F42E1"/>
    <w:rsid w:val="003F5413"/>
    <w:rsid w:val="003F5EC1"/>
    <w:rsid w:val="003F6510"/>
    <w:rsid w:val="003F676E"/>
    <w:rsid w:val="003F6C39"/>
    <w:rsid w:val="003F78BE"/>
    <w:rsid w:val="004004FE"/>
    <w:rsid w:val="004009B0"/>
    <w:rsid w:val="004010FB"/>
    <w:rsid w:val="0040157B"/>
    <w:rsid w:val="0040192E"/>
    <w:rsid w:val="00402095"/>
    <w:rsid w:val="004021F3"/>
    <w:rsid w:val="004026FE"/>
    <w:rsid w:val="00402708"/>
    <w:rsid w:val="00402D91"/>
    <w:rsid w:val="00402DBC"/>
    <w:rsid w:val="004041B7"/>
    <w:rsid w:val="00404E66"/>
    <w:rsid w:val="00405DE3"/>
    <w:rsid w:val="004060C8"/>
    <w:rsid w:val="00407949"/>
    <w:rsid w:val="00411C7C"/>
    <w:rsid w:val="00412177"/>
    <w:rsid w:val="00412E68"/>
    <w:rsid w:val="00413698"/>
    <w:rsid w:val="00413B37"/>
    <w:rsid w:val="00414384"/>
    <w:rsid w:val="00414B3A"/>
    <w:rsid w:val="004157B5"/>
    <w:rsid w:val="00415E93"/>
    <w:rsid w:val="00420115"/>
    <w:rsid w:val="004201FC"/>
    <w:rsid w:val="004207B1"/>
    <w:rsid w:val="004209D4"/>
    <w:rsid w:val="00420B2B"/>
    <w:rsid w:val="00420BDE"/>
    <w:rsid w:val="0042130A"/>
    <w:rsid w:val="004229D4"/>
    <w:rsid w:val="00422A91"/>
    <w:rsid w:val="004240DD"/>
    <w:rsid w:val="00424781"/>
    <w:rsid w:val="00424FE7"/>
    <w:rsid w:val="0042564B"/>
    <w:rsid w:val="004258FF"/>
    <w:rsid w:val="00425CA0"/>
    <w:rsid w:val="00426142"/>
    <w:rsid w:val="004267AA"/>
    <w:rsid w:val="004273FE"/>
    <w:rsid w:val="00430728"/>
    <w:rsid w:val="00430E8F"/>
    <w:rsid w:val="0043189C"/>
    <w:rsid w:val="00431D2E"/>
    <w:rsid w:val="00432110"/>
    <w:rsid w:val="00434520"/>
    <w:rsid w:val="00434802"/>
    <w:rsid w:val="0043519E"/>
    <w:rsid w:val="00436199"/>
    <w:rsid w:val="004364FF"/>
    <w:rsid w:val="0043677B"/>
    <w:rsid w:val="0044099E"/>
    <w:rsid w:val="00440DA6"/>
    <w:rsid w:val="00440E1E"/>
    <w:rsid w:val="00442363"/>
    <w:rsid w:val="004434DB"/>
    <w:rsid w:val="00443C1F"/>
    <w:rsid w:val="0044487E"/>
    <w:rsid w:val="00445342"/>
    <w:rsid w:val="0044577E"/>
    <w:rsid w:val="004469D4"/>
    <w:rsid w:val="00446EF6"/>
    <w:rsid w:val="00447213"/>
    <w:rsid w:val="00447834"/>
    <w:rsid w:val="00447A6D"/>
    <w:rsid w:val="0045088E"/>
    <w:rsid w:val="004508F5"/>
    <w:rsid w:val="00450B7A"/>
    <w:rsid w:val="0045138F"/>
    <w:rsid w:val="004518A6"/>
    <w:rsid w:val="004518DD"/>
    <w:rsid w:val="0045220B"/>
    <w:rsid w:val="0045331D"/>
    <w:rsid w:val="004535CB"/>
    <w:rsid w:val="004539F1"/>
    <w:rsid w:val="00453A3B"/>
    <w:rsid w:val="00453E90"/>
    <w:rsid w:val="004542F0"/>
    <w:rsid w:val="00454C58"/>
    <w:rsid w:val="00454F78"/>
    <w:rsid w:val="004561BB"/>
    <w:rsid w:val="004562AE"/>
    <w:rsid w:val="00456696"/>
    <w:rsid w:val="004568C8"/>
    <w:rsid w:val="004574EB"/>
    <w:rsid w:val="00457658"/>
    <w:rsid w:val="00457896"/>
    <w:rsid w:val="004602D5"/>
    <w:rsid w:val="00460DE0"/>
    <w:rsid w:val="00460F47"/>
    <w:rsid w:val="0046228A"/>
    <w:rsid w:val="00462F50"/>
    <w:rsid w:val="00463DC4"/>
    <w:rsid w:val="00464AF4"/>
    <w:rsid w:val="004652A7"/>
    <w:rsid w:val="004656E8"/>
    <w:rsid w:val="00465B3A"/>
    <w:rsid w:val="00466169"/>
    <w:rsid w:val="0046730A"/>
    <w:rsid w:val="00467D21"/>
    <w:rsid w:val="00467E6E"/>
    <w:rsid w:val="0047096E"/>
    <w:rsid w:val="00470B32"/>
    <w:rsid w:val="00471AA0"/>
    <w:rsid w:val="0047278A"/>
    <w:rsid w:val="00472DEF"/>
    <w:rsid w:val="004738FF"/>
    <w:rsid w:val="00473E97"/>
    <w:rsid w:val="00474EC6"/>
    <w:rsid w:val="00474ECB"/>
    <w:rsid w:val="00475401"/>
    <w:rsid w:val="004766C0"/>
    <w:rsid w:val="00476A1A"/>
    <w:rsid w:val="00476E8D"/>
    <w:rsid w:val="00477038"/>
    <w:rsid w:val="00477670"/>
    <w:rsid w:val="004778BD"/>
    <w:rsid w:val="00477BB1"/>
    <w:rsid w:val="00477F5B"/>
    <w:rsid w:val="0048060D"/>
    <w:rsid w:val="00480965"/>
    <w:rsid w:val="00481330"/>
    <w:rsid w:val="00482739"/>
    <w:rsid w:val="00483129"/>
    <w:rsid w:val="00483D45"/>
    <w:rsid w:val="00484131"/>
    <w:rsid w:val="0048744C"/>
    <w:rsid w:val="0048794A"/>
    <w:rsid w:val="00487B60"/>
    <w:rsid w:val="004905A0"/>
    <w:rsid w:val="00490C7E"/>
    <w:rsid w:val="00491F34"/>
    <w:rsid w:val="0049308B"/>
    <w:rsid w:val="004938B6"/>
    <w:rsid w:val="00493B83"/>
    <w:rsid w:val="00494457"/>
    <w:rsid w:val="00494A1B"/>
    <w:rsid w:val="004953C1"/>
    <w:rsid w:val="004972BB"/>
    <w:rsid w:val="004A07D3"/>
    <w:rsid w:val="004A1D8B"/>
    <w:rsid w:val="004A2B96"/>
    <w:rsid w:val="004A3620"/>
    <w:rsid w:val="004A3A82"/>
    <w:rsid w:val="004A4690"/>
    <w:rsid w:val="004A4750"/>
    <w:rsid w:val="004A4916"/>
    <w:rsid w:val="004A5139"/>
    <w:rsid w:val="004A5364"/>
    <w:rsid w:val="004A5A9B"/>
    <w:rsid w:val="004A5ACD"/>
    <w:rsid w:val="004A5C60"/>
    <w:rsid w:val="004A614B"/>
    <w:rsid w:val="004A71CE"/>
    <w:rsid w:val="004A7DF5"/>
    <w:rsid w:val="004A7EA4"/>
    <w:rsid w:val="004B05D0"/>
    <w:rsid w:val="004B0D8A"/>
    <w:rsid w:val="004B1118"/>
    <w:rsid w:val="004B17B8"/>
    <w:rsid w:val="004B199E"/>
    <w:rsid w:val="004B2578"/>
    <w:rsid w:val="004B2775"/>
    <w:rsid w:val="004B27C6"/>
    <w:rsid w:val="004B2D85"/>
    <w:rsid w:val="004B3547"/>
    <w:rsid w:val="004B3584"/>
    <w:rsid w:val="004B3B33"/>
    <w:rsid w:val="004B3E55"/>
    <w:rsid w:val="004B49DE"/>
    <w:rsid w:val="004B4C47"/>
    <w:rsid w:val="004B4D9A"/>
    <w:rsid w:val="004B4E3D"/>
    <w:rsid w:val="004B5DA2"/>
    <w:rsid w:val="004B6405"/>
    <w:rsid w:val="004B6DA1"/>
    <w:rsid w:val="004B6FB6"/>
    <w:rsid w:val="004B75D5"/>
    <w:rsid w:val="004B7C7B"/>
    <w:rsid w:val="004B7EE4"/>
    <w:rsid w:val="004C15F6"/>
    <w:rsid w:val="004C3E2D"/>
    <w:rsid w:val="004C497E"/>
    <w:rsid w:val="004C5D7C"/>
    <w:rsid w:val="004C7189"/>
    <w:rsid w:val="004C742C"/>
    <w:rsid w:val="004D0A3A"/>
    <w:rsid w:val="004D2292"/>
    <w:rsid w:val="004D290D"/>
    <w:rsid w:val="004D30ED"/>
    <w:rsid w:val="004D3AC4"/>
    <w:rsid w:val="004D4109"/>
    <w:rsid w:val="004D4634"/>
    <w:rsid w:val="004D47E3"/>
    <w:rsid w:val="004D4844"/>
    <w:rsid w:val="004D5798"/>
    <w:rsid w:val="004D5C93"/>
    <w:rsid w:val="004D64A5"/>
    <w:rsid w:val="004D6636"/>
    <w:rsid w:val="004D68A9"/>
    <w:rsid w:val="004D6AC9"/>
    <w:rsid w:val="004D6B19"/>
    <w:rsid w:val="004D6DDA"/>
    <w:rsid w:val="004D73AB"/>
    <w:rsid w:val="004D7C77"/>
    <w:rsid w:val="004D7CB0"/>
    <w:rsid w:val="004E0108"/>
    <w:rsid w:val="004E01E9"/>
    <w:rsid w:val="004E0E08"/>
    <w:rsid w:val="004E140A"/>
    <w:rsid w:val="004E25DE"/>
    <w:rsid w:val="004E30F5"/>
    <w:rsid w:val="004E3F72"/>
    <w:rsid w:val="004E5317"/>
    <w:rsid w:val="004E5CC6"/>
    <w:rsid w:val="004E67D7"/>
    <w:rsid w:val="004E6E59"/>
    <w:rsid w:val="004E77C2"/>
    <w:rsid w:val="004F0596"/>
    <w:rsid w:val="004F103D"/>
    <w:rsid w:val="004F1DEE"/>
    <w:rsid w:val="004F2198"/>
    <w:rsid w:val="004F22CF"/>
    <w:rsid w:val="004F2B29"/>
    <w:rsid w:val="004F2C2E"/>
    <w:rsid w:val="004F2FAE"/>
    <w:rsid w:val="004F31C9"/>
    <w:rsid w:val="004F337E"/>
    <w:rsid w:val="004F3432"/>
    <w:rsid w:val="004F36BF"/>
    <w:rsid w:val="004F396B"/>
    <w:rsid w:val="004F3A93"/>
    <w:rsid w:val="004F4044"/>
    <w:rsid w:val="004F43E3"/>
    <w:rsid w:val="004F61F2"/>
    <w:rsid w:val="004F664D"/>
    <w:rsid w:val="004F6BC1"/>
    <w:rsid w:val="004F6D9A"/>
    <w:rsid w:val="00500AA5"/>
    <w:rsid w:val="00500B42"/>
    <w:rsid w:val="005010A0"/>
    <w:rsid w:val="00501FC9"/>
    <w:rsid w:val="00502196"/>
    <w:rsid w:val="005023C8"/>
    <w:rsid w:val="005027F5"/>
    <w:rsid w:val="00503049"/>
    <w:rsid w:val="00504130"/>
    <w:rsid w:val="00504C8B"/>
    <w:rsid w:val="0050511C"/>
    <w:rsid w:val="005063F6"/>
    <w:rsid w:val="00506D70"/>
    <w:rsid w:val="00506DBF"/>
    <w:rsid w:val="00506E98"/>
    <w:rsid w:val="005070E6"/>
    <w:rsid w:val="00507283"/>
    <w:rsid w:val="00507361"/>
    <w:rsid w:val="00507D54"/>
    <w:rsid w:val="005101BF"/>
    <w:rsid w:val="005106A5"/>
    <w:rsid w:val="00510F2A"/>
    <w:rsid w:val="0051146B"/>
    <w:rsid w:val="0051153F"/>
    <w:rsid w:val="00512772"/>
    <w:rsid w:val="0051297F"/>
    <w:rsid w:val="00512E43"/>
    <w:rsid w:val="0051327A"/>
    <w:rsid w:val="00513666"/>
    <w:rsid w:val="0051475E"/>
    <w:rsid w:val="00514F2E"/>
    <w:rsid w:val="0051603F"/>
    <w:rsid w:val="00516211"/>
    <w:rsid w:val="0051681E"/>
    <w:rsid w:val="00516939"/>
    <w:rsid w:val="00516ADD"/>
    <w:rsid w:val="00516FA5"/>
    <w:rsid w:val="0051753B"/>
    <w:rsid w:val="00517A22"/>
    <w:rsid w:val="005228A4"/>
    <w:rsid w:val="00522B65"/>
    <w:rsid w:val="00523482"/>
    <w:rsid w:val="00525DAE"/>
    <w:rsid w:val="00526609"/>
    <w:rsid w:val="0052677E"/>
    <w:rsid w:val="00527220"/>
    <w:rsid w:val="00530186"/>
    <w:rsid w:val="005316AC"/>
    <w:rsid w:val="005317A5"/>
    <w:rsid w:val="005318A1"/>
    <w:rsid w:val="00531FCE"/>
    <w:rsid w:val="00532AF1"/>
    <w:rsid w:val="00532B0D"/>
    <w:rsid w:val="00532D68"/>
    <w:rsid w:val="00532D71"/>
    <w:rsid w:val="00533121"/>
    <w:rsid w:val="0053372E"/>
    <w:rsid w:val="00533927"/>
    <w:rsid w:val="00533C23"/>
    <w:rsid w:val="005348AE"/>
    <w:rsid w:val="005348C5"/>
    <w:rsid w:val="00535B51"/>
    <w:rsid w:val="00536B34"/>
    <w:rsid w:val="00536D9F"/>
    <w:rsid w:val="00536FAB"/>
    <w:rsid w:val="00537043"/>
    <w:rsid w:val="00540121"/>
    <w:rsid w:val="00540611"/>
    <w:rsid w:val="00540C17"/>
    <w:rsid w:val="005418BA"/>
    <w:rsid w:val="0054218B"/>
    <w:rsid w:val="00543B3B"/>
    <w:rsid w:val="0054412B"/>
    <w:rsid w:val="005441D3"/>
    <w:rsid w:val="005454E1"/>
    <w:rsid w:val="00545C3A"/>
    <w:rsid w:val="005465BA"/>
    <w:rsid w:val="00547737"/>
    <w:rsid w:val="0054779F"/>
    <w:rsid w:val="00550080"/>
    <w:rsid w:val="00550B19"/>
    <w:rsid w:val="00551B8D"/>
    <w:rsid w:val="00551D6B"/>
    <w:rsid w:val="0055296D"/>
    <w:rsid w:val="00552D9B"/>
    <w:rsid w:val="00553859"/>
    <w:rsid w:val="00553C7C"/>
    <w:rsid w:val="00554A18"/>
    <w:rsid w:val="00554F36"/>
    <w:rsid w:val="00555265"/>
    <w:rsid w:val="005563C3"/>
    <w:rsid w:val="00556DC8"/>
    <w:rsid w:val="00557152"/>
    <w:rsid w:val="0055768F"/>
    <w:rsid w:val="0056001E"/>
    <w:rsid w:val="0056043E"/>
    <w:rsid w:val="005608B7"/>
    <w:rsid w:val="00560A12"/>
    <w:rsid w:val="00560EF7"/>
    <w:rsid w:val="00561B79"/>
    <w:rsid w:val="00561B9C"/>
    <w:rsid w:val="00562E1E"/>
    <w:rsid w:val="005634BA"/>
    <w:rsid w:val="00563935"/>
    <w:rsid w:val="00563AF2"/>
    <w:rsid w:val="0056573B"/>
    <w:rsid w:val="00566112"/>
    <w:rsid w:val="005661A4"/>
    <w:rsid w:val="005669DA"/>
    <w:rsid w:val="00566BD1"/>
    <w:rsid w:val="0056749B"/>
    <w:rsid w:val="0057015D"/>
    <w:rsid w:val="0057026E"/>
    <w:rsid w:val="0057124F"/>
    <w:rsid w:val="00571F00"/>
    <w:rsid w:val="00571F52"/>
    <w:rsid w:val="00573978"/>
    <w:rsid w:val="00574943"/>
    <w:rsid w:val="00575568"/>
    <w:rsid w:val="005760C5"/>
    <w:rsid w:val="00576B30"/>
    <w:rsid w:val="005770B7"/>
    <w:rsid w:val="005800E9"/>
    <w:rsid w:val="005805C4"/>
    <w:rsid w:val="005829F6"/>
    <w:rsid w:val="00582EF6"/>
    <w:rsid w:val="0058359E"/>
    <w:rsid w:val="005838DB"/>
    <w:rsid w:val="00584798"/>
    <w:rsid w:val="00585334"/>
    <w:rsid w:val="0058543D"/>
    <w:rsid w:val="00585692"/>
    <w:rsid w:val="00585E44"/>
    <w:rsid w:val="00585F34"/>
    <w:rsid w:val="00586304"/>
    <w:rsid w:val="00586E8D"/>
    <w:rsid w:val="00590000"/>
    <w:rsid w:val="0059044F"/>
    <w:rsid w:val="00590AF8"/>
    <w:rsid w:val="00591729"/>
    <w:rsid w:val="00591A0E"/>
    <w:rsid w:val="00592206"/>
    <w:rsid w:val="005929A8"/>
    <w:rsid w:val="00592A80"/>
    <w:rsid w:val="00592E22"/>
    <w:rsid w:val="00593075"/>
    <w:rsid w:val="00593FA0"/>
    <w:rsid w:val="00595FE6"/>
    <w:rsid w:val="00597364"/>
    <w:rsid w:val="005975DB"/>
    <w:rsid w:val="00597757"/>
    <w:rsid w:val="005A153C"/>
    <w:rsid w:val="005A1F71"/>
    <w:rsid w:val="005A2B72"/>
    <w:rsid w:val="005A2F36"/>
    <w:rsid w:val="005A386C"/>
    <w:rsid w:val="005A3FBD"/>
    <w:rsid w:val="005A4874"/>
    <w:rsid w:val="005A4EB0"/>
    <w:rsid w:val="005A6ACF"/>
    <w:rsid w:val="005A6BA4"/>
    <w:rsid w:val="005A7474"/>
    <w:rsid w:val="005A78C4"/>
    <w:rsid w:val="005B0587"/>
    <w:rsid w:val="005B0897"/>
    <w:rsid w:val="005B0C15"/>
    <w:rsid w:val="005B1A78"/>
    <w:rsid w:val="005B2B51"/>
    <w:rsid w:val="005B31B6"/>
    <w:rsid w:val="005B5465"/>
    <w:rsid w:val="005B7B41"/>
    <w:rsid w:val="005B7DBD"/>
    <w:rsid w:val="005C0FDC"/>
    <w:rsid w:val="005C2065"/>
    <w:rsid w:val="005C223F"/>
    <w:rsid w:val="005C2BB1"/>
    <w:rsid w:val="005C2FE2"/>
    <w:rsid w:val="005C33B9"/>
    <w:rsid w:val="005C363E"/>
    <w:rsid w:val="005C4028"/>
    <w:rsid w:val="005C4F7B"/>
    <w:rsid w:val="005C6813"/>
    <w:rsid w:val="005C7AA9"/>
    <w:rsid w:val="005C7DFE"/>
    <w:rsid w:val="005D0347"/>
    <w:rsid w:val="005D069C"/>
    <w:rsid w:val="005D0C65"/>
    <w:rsid w:val="005D0FA5"/>
    <w:rsid w:val="005D12D0"/>
    <w:rsid w:val="005D1CB1"/>
    <w:rsid w:val="005D1ED8"/>
    <w:rsid w:val="005D3599"/>
    <w:rsid w:val="005D3C6A"/>
    <w:rsid w:val="005D4872"/>
    <w:rsid w:val="005D4BBD"/>
    <w:rsid w:val="005D4C29"/>
    <w:rsid w:val="005D4E7C"/>
    <w:rsid w:val="005D536A"/>
    <w:rsid w:val="005D5C0B"/>
    <w:rsid w:val="005D616E"/>
    <w:rsid w:val="005D68FF"/>
    <w:rsid w:val="005D7057"/>
    <w:rsid w:val="005D78DE"/>
    <w:rsid w:val="005D7A2B"/>
    <w:rsid w:val="005D7DE8"/>
    <w:rsid w:val="005E0434"/>
    <w:rsid w:val="005E0634"/>
    <w:rsid w:val="005E09FD"/>
    <w:rsid w:val="005E0A0D"/>
    <w:rsid w:val="005E178A"/>
    <w:rsid w:val="005E2DF1"/>
    <w:rsid w:val="005E4305"/>
    <w:rsid w:val="005E43A3"/>
    <w:rsid w:val="005E51AC"/>
    <w:rsid w:val="005E54E1"/>
    <w:rsid w:val="005E7EE0"/>
    <w:rsid w:val="005F0105"/>
    <w:rsid w:val="005F01C6"/>
    <w:rsid w:val="005F0899"/>
    <w:rsid w:val="005F0D69"/>
    <w:rsid w:val="005F116A"/>
    <w:rsid w:val="005F16D8"/>
    <w:rsid w:val="005F32D9"/>
    <w:rsid w:val="005F3953"/>
    <w:rsid w:val="005F4ABC"/>
    <w:rsid w:val="005F4D5D"/>
    <w:rsid w:val="005F5830"/>
    <w:rsid w:val="005F5927"/>
    <w:rsid w:val="005F5A01"/>
    <w:rsid w:val="005F5A69"/>
    <w:rsid w:val="005F719F"/>
    <w:rsid w:val="005F7BE4"/>
    <w:rsid w:val="00601105"/>
    <w:rsid w:val="00601550"/>
    <w:rsid w:val="00601EB5"/>
    <w:rsid w:val="00602FB0"/>
    <w:rsid w:val="00603045"/>
    <w:rsid w:val="006035A0"/>
    <w:rsid w:val="00603972"/>
    <w:rsid w:val="00603E72"/>
    <w:rsid w:val="00603E76"/>
    <w:rsid w:val="006045B6"/>
    <w:rsid w:val="0060575E"/>
    <w:rsid w:val="00605856"/>
    <w:rsid w:val="00606418"/>
    <w:rsid w:val="0060715F"/>
    <w:rsid w:val="006077DF"/>
    <w:rsid w:val="00607B67"/>
    <w:rsid w:val="00607FCB"/>
    <w:rsid w:val="00610284"/>
    <w:rsid w:val="00612650"/>
    <w:rsid w:val="00612B12"/>
    <w:rsid w:val="006133C9"/>
    <w:rsid w:val="006142B9"/>
    <w:rsid w:val="00614B1C"/>
    <w:rsid w:val="00614C77"/>
    <w:rsid w:val="00615D3F"/>
    <w:rsid w:val="00616EB1"/>
    <w:rsid w:val="006172BC"/>
    <w:rsid w:val="006176BE"/>
    <w:rsid w:val="0061777D"/>
    <w:rsid w:val="00617BA3"/>
    <w:rsid w:val="00617D10"/>
    <w:rsid w:val="006204D6"/>
    <w:rsid w:val="006207CF"/>
    <w:rsid w:val="006208C7"/>
    <w:rsid w:val="00621CF9"/>
    <w:rsid w:val="0062309A"/>
    <w:rsid w:val="00623271"/>
    <w:rsid w:val="00623294"/>
    <w:rsid w:val="00623696"/>
    <w:rsid w:val="00623D0E"/>
    <w:rsid w:val="00624265"/>
    <w:rsid w:val="00627A05"/>
    <w:rsid w:val="00627D00"/>
    <w:rsid w:val="00631CBF"/>
    <w:rsid w:val="006326BF"/>
    <w:rsid w:val="00632D6A"/>
    <w:rsid w:val="00633B6D"/>
    <w:rsid w:val="00633F48"/>
    <w:rsid w:val="00634D53"/>
    <w:rsid w:val="006357F0"/>
    <w:rsid w:val="00635D25"/>
    <w:rsid w:val="00637008"/>
    <w:rsid w:val="00640485"/>
    <w:rsid w:val="00640500"/>
    <w:rsid w:val="00640AB3"/>
    <w:rsid w:val="00640F29"/>
    <w:rsid w:val="006424BC"/>
    <w:rsid w:val="00642569"/>
    <w:rsid w:val="0064279B"/>
    <w:rsid w:val="00643982"/>
    <w:rsid w:val="00643E1D"/>
    <w:rsid w:val="0064453B"/>
    <w:rsid w:val="00644C43"/>
    <w:rsid w:val="00645376"/>
    <w:rsid w:val="006461C8"/>
    <w:rsid w:val="006461F8"/>
    <w:rsid w:val="006473C9"/>
    <w:rsid w:val="00647EAE"/>
    <w:rsid w:val="006503DE"/>
    <w:rsid w:val="00651017"/>
    <w:rsid w:val="006512D2"/>
    <w:rsid w:val="00651EA4"/>
    <w:rsid w:val="00652F97"/>
    <w:rsid w:val="00652FC9"/>
    <w:rsid w:val="006535DD"/>
    <w:rsid w:val="00653FE6"/>
    <w:rsid w:val="00654952"/>
    <w:rsid w:val="00654F50"/>
    <w:rsid w:val="00654FC0"/>
    <w:rsid w:val="006557CF"/>
    <w:rsid w:val="00655A1B"/>
    <w:rsid w:val="0065638C"/>
    <w:rsid w:val="00656D6B"/>
    <w:rsid w:val="0065755B"/>
    <w:rsid w:val="00657613"/>
    <w:rsid w:val="00657680"/>
    <w:rsid w:val="00657AA5"/>
    <w:rsid w:val="00657B87"/>
    <w:rsid w:val="00660B39"/>
    <w:rsid w:val="00660F57"/>
    <w:rsid w:val="0066174C"/>
    <w:rsid w:val="00661B92"/>
    <w:rsid w:val="0066358C"/>
    <w:rsid w:val="00663DFA"/>
    <w:rsid w:val="00663EEA"/>
    <w:rsid w:val="0066420C"/>
    <w:rsid w:val="00664B50"/>
    <w:rsid w:val="00664DCF"/>
    <w:rsid w:val="00664E06"/>
    <w:rsid w:val="00665835"/>
    <w:rsid w:val="006663A3"/>
    <w:rsid w:val="006669CB"/>
    <w:rsid w:val="00666F6C"/>
    <w:rsid w:val="00671484"/>
    <w:rsid w:val="00671926"/>
    <w:rsid w:val="00671F4E"/>
    <w:rsid w:val="00672AA8"/>
    <w:rsid w:val="00672EC7"/>
    <w:rsid w:val="006734F5"/>
    <w:rsid w:val="00674F37"/>
    <w:rsid w:val="00676AEA"/>
    <w:rsid w:val="00677651"/>
    <w:rsid w:val="006825C7"/>
    <w:rsid w:val="00683041"/>
    <w:rsid w:val="00684230"/>
    <w:rsid w:val="006847B2"/>
    <w:rsid w:val="00684EA0"/>
    <w:rsid w:val="00684F65"/>
    <w:rsid w:val="00685452"/>
    <w:rsid w:val="00685EE2"/>
    <w:rsid w:val="00686A99"/>
    <w:rsid w:val="00686D40"/>
    <w:rsid w:val="00687445"/>
    <w:rsid w:val="0069025D"/>
    <w:rsid w:val="00690437"/>
    <w:rsid w:val="00690BEA"/>
    <w:rsid w:val="0069112D"/>
    <w:rsid w:val="00691173"/>
    <w:rsid w:val="00691496"/>
    <w:rsid w:val="006915B5"/>
    <w:rsid w:val="00691A87"/>
    <w:rsid w:val="00692813"/>
    <w:rsid w:val="0069295E"/>
    <w:rsid w:val="00692B8D"/>
    <w:rsid w:val="00692F57"/>
    <w:rsid w:val="00693E6D"/>
    <w:rsid w:val="00694505"/>
    <w:rsid w:val="00694566"/>
    <w:rsid w:val="00694E53"/>
    <w:rsid w:val="0069514D"/>
    <w:rsid w:val="00695DBA"/>
    <w:rsid w:val="006970EE"/>
    <w:rsid w:val="00697151"/>
    <w:rsid w:val="00697CB5"/>
    <w:rsid w:val="006A0671"/>
    <w:rsid w:val="006A1EDD"/>
    <w:rsid w:val="006A1F28"/>
    <w:rsid w:val="006A22BF"/>
    <w:rsid w:val="006A2571"/>
    <w:rsid w:val="006A53D3"/>
    <w:rsid w:val="006A5A6A"/>
    <w:rsid w:val="006A686B"/>
    <w:rsid w:val="006A68BD"/>
    <w:rsid w:val="006A731B"/>
    <w:rsid w:val="006A7D52"/>
    <w:rsid w:val="006B00AE"/>
    <w:rsid w:val="006B0363"/>
    <w:rsid w:val="006B0FA7"/>
    <w:rsid w:val="006B1510"/>
    <w:rsid w:val="006B1764"/>
    <w:rsid w:val="006B184C"/>
    <w:rsid w:val="006B1FD0"/>
    <w:rsid w:val="006B201C"/>
    <w:rsid w:val="006B207D"/>
    <w:rsid w:val="006B2709"/>
    <w:rsid w:val="006B377D"/>
    <w:rsid w:val="006B459B"/>
    <w:rsid w:val="006B4C7B"/>
    <w:rsid w:val="006B4FFF"/>
    <w:rsid w:val="006B5BE6"/>
    <w:rsid w:val="006B5C0F"/>
    <w:rsid w:val="006B5C2B"/>
    <w:rsid w:val="006B68A4"/>
    <w:rsid w:val="006B69E5"/>
    <w:rsid w:val="006B6B70"/>
    <w:rsid w:val="006B6FFB"/>
    <w:rsid w:val="006B7C8C"/>
    <w:rsid w:val="006C0166"/>
    <w:rsid w:val="006C0728"/>
    <w:rsid w:val="006C1094"/>
    <w:rsid w:val="006C1800"/>
    <w:rsid w:val="006C1AC9"/>
    <w:rsid w:val="006C233E"/>
    <w:rsid w:val="006C24A9"/>
    <w:rsid w:val="006C312A"/>
    <w:rsid w:val="006C37E1"/>
    <w:rsid w:val="006C3B1F"/>
    <w:rsid w:val="006C3D65"/>
    <w:rsid w:val="006C5389"/>
    <w:rsid w:val="006C5AE3"/>
    <w:rsid w:val="006C5BDE"/>
    <w:rsid w:val="006C6132"/>
    <w:rsid w:val="006C67D0"/>
    <w:rsid w:val="006C7959"/>
    <w:rsid w:val="006C7A44"/>
    <w:rsid w:val="006C7E2D"/>
    <w:rsid w:val="006D0126"/>
    <w:rsid w:val="006D1229"/>
    <w:rsid w:val="006D1648"/>
    <w:rsid w:val="006D19C3"/>
    <w:rsid w:val="006D2264"/>
    <w:rsid w:val="006D228D"/>
    <w:rsid w:val="006D25D8"/>
    <w:rsid w:val="006D25EB"/>
    <w:rsid w:val="006D27CD"/>
    <w:rsid w:val="006D2A26"/>
    <w:rsid w:val="006D2CCE"/>
    <w:rsid w:val="006D3005"/>
    <w:rsid w:val="006D3128"/>
    <w:rsid w:val="006D31DD"/>
    <w:rsid w:val="006D360E"/>
    <w:rsid w:val="006D38CA"/>
    <w:rsid w:val="006D3C4B"/>
    <w:rsid w:val="006D42F2"/>
    <w:rsid w:val="006D4486"/>
    <w:rsid w:val="006D44D2"/>
    <w:rsid w:val="006D4CE3"/>
    <w:rsid w:val="006D4DF5"/>
    <w:rsid w:val="006D6ADD"/>
    <w:rsid w:val="006D7F50"/>
    <w:rsid w:val="006E173A"/>
    <w:rsid w:val="006E1860"/>
    <w:rsid w:val="006E21E7"/>
    <w:rsid w:val="006E29E5"/>
    <w:rsid w:val="006E2D92"/>
    <w:rsid w:val="006E32FE"/>
    <w:rsid w:val="006E4E04"/>
    <w:rsid w:val="006E57C5"/>
    <w:rsid w:val="006E58AF"/>
    <w:rsid w:val="006E5E57"/>
    <w:rsid w:val="006E6D0E"/>
    <w:rsid w:val="006E6D13"/>
    <w:rsid w:val="006E6DA1"/>
    <w:rsid w:val="006E6DC5"/>
    <w:rsid w:val="006E7EFB"/>
    <w:rsid w:val="006F0C3C"/>
    <w:rsid w:val="006F10CA"/>
    <w:rsid w:val="006F2013"/>
    <w:rsid w:val="006F2F26"/>
    <w:rsid w:val="006F3568"/>
    <w:rsid w:val="006F3A1F"/>
    <w:rsid w:val="006F58EB"/>
    <w:rsid w:val="006F6E11"/>
    <w:rsid w:val="006F73D7"/>
    <w:rsid w:val="006F7414"/>
    <w:rsid w:val="006F7813"/>
    <w:rsid w:val="006F7934"/>
    <w:rsid w:val="006F7DAE"/>
    <w:rsid w:val="00700B86"/>
    <w:rsid w:val="007012EA"/>
    <w:rsid w:val="00702D64"/>
    <w:rsid w:val="007035E7"/>
    <w:rsid w:val="00704442"/>
    <w:rsid w:val="0070522C"/>
    <w:rsid w:val="00705D08"/>
    <w:rsid w:val="00705DE4"/>
    <w:rsid w:val="00706002"/>
    <w:rsid w:val="00706477"/>
    <w:rsid w:val="0070791A"/>
    <w:rsid w:val="00707FC2"/>
    <w:rsid w:val="007103D6"/>
    <w:rsid w:val="0071136F"/>
    <w:rsid w:val="00711ED8"/>
    <w:rsid w:val="0071205A"/>
    <w:rsid w:val="00712B6A"/>
    <w:rsid w:val="00712F88"/>
    <w:rsid w:val="00713486"/>
    <w:rsid w:val="00713538"/>
    <w:rsid w:val="00713A56"/>
    <w:rsid w:val="00714437"/>
    <w:rsid w:val="0071448F"/>
    <w:rsid w:val="007146B6"/>
    <w:rsid w:val="00715CDA"/>
    <w:rsid w:val="00715ED9"/>
    <w:rsid w:val="00716204"/>
    <w:rsid w:val="00716A4C"/>
    <w:rsid w:val="0071750F"/>
    <w:rsid w:val="00717648"/>
    <w:rsid w:val="00717814"/>
    <w:rsid w:val="0072061F"/>
    <w:rsid w:val="00720AE4"/>
    <w:rsid w:val="007211EA"/>
    <w:rsid w:val="00721554"/>
    <w:rsid w:val="00721B43"/>
    <w:rsid w:val="00722067"/>
    <w:rsid w:val="007221B2"/>
    <w:rsid w:val="00722D01"/>
    <w:rsid w:val="00724546"/>
    <w:rsid w:val="00724831"/>
    <w:rsid w:val="00724F3F"/>
    <w:rsid w:val="00725801"/>
    <w:rsid w:val="007264D7"/>
    <w:rsid w:val="00726A8D"/>
    <w:rsid w:val="00726AC9"/>
    <w:rsid w:val="007274A8"/>
    <w:rsid w:val="00727619"/>
    <w:rsid w:val="00727D62"/>
    <w:rsid w:val="00730273"/>
    <w:rsid w:val="00730C42"/>
    <w:rsid w:val="007318F1"/>
    <w:rsid w:val="00731BBA"/>
    <w:rsid w:val="00731BC7"/>
    <w:rsid w:val="00733E3F"/>
    <w:rsid w:val="0073414F"/>
    <w:rsid w:val="007344C8"/>
    <w:rsid w:val="007349A0"/>
    <w:rsid w:val="007349E9"/>
    <w:rsid w:val="00736149"/>
    <w:rsid w:val="007367A6"/>
    <w:rsid w:val="007367EB"/>
    <w:rsid w:val="00736CFD"/>
    <w:rsid w:val="00736F4D"/>
    <w:rsid w:val="00737075"/>
    <w:rsid w:val="00737F50"/>
    <w:rsid w:val="00740108"/>
    <w:rsid w:val="007417C5"/>
    <w:rsid w:val="00742853"/>
    <w:rsid w:val="007433BE"/>
    <w:rsid w:val="00743E27"/>
    <w:rsid w:val="0074477C"/>
    <w:rsid w:val="007448DF"/>
    <w:rsid w:val="00745670"/>
    <w:rsid w:val="00746739"/>
    <w:rsid w:val="00746858"/>
    <w:rsid w:val="00746F0B"/>
    <w:rsid w:val="0074746B"/>
    <w:rsid w:val="00747800"/>
    <w:rsid w:val="007505E0"/>
    <w:rsid w:val="0075065A"/>
    <w:rsid w:val="00750B63"/>
    <w:rsid w:val="0075185A"/>
    <w:rsid w:val="00751C2E"/>
    <w:rsid w:val="00751E91"/>
    <w:rsid w:val="007533DF"/>
    <w:rsid w:val="0075351F"/>
    <w:rsid w:val="00754D01"/>
    <w:rsid w:val="00755A37"/>
    <w:rsid w:val="00755BDB"/>
    <w:rsid w:val="007560B3"/>
    <w:rsid w:val="007560CE"/>
    <w:rsid w:val="00756247"/>
    <w:rsid w:val="0075636C"/>
    <w:rsid w:val="007572E4"/>
    <w:rsid w:val="00757C35"/>
    <w:rsid w:val="0076007A"/>
    <w:rsid w:val="007600F8"/>
    <w:rsid w:val="007601BB"/>
    <w:rsid w:val="0076199C"/>
    <w:rsid w:val="00761D56"/>
    <w:rsid w:val="00762153"/>
    <w:rsid w:val="0076251F"/>
    <w:rsid w:val="007632F2"/>
    <w:rsid w:val="007650C8"/>
    <w:rsid w:val="007669B1"/>
    <w:rsid w:val="007678EF"/>
    <w:rsid w:val="007712E1"/>
    <w:rsid w:val="00771316"/>
    <w:rsid w:val="00771524"/>
    <w:rsid w:val="007715CF"/>
    <w:rsid w:val="00771B61"/>
    <w:rsid w:val="007720BA"/>
    <w:rsid w:val="00772934"/>
    <w:rsid w:val="00773026"/>
    <w:rsid w:val="00774B52"/>
    <w:rsid w:val="00774E50"/>
    <w:rsid w:val="00776448"/>
    <w:rsid w:val="00776D04"/>
    <w:rsid w:val="0077720C"/>
    <w:rsid w:val="007778AB"/>
    <w:rsid w:val="007808CF"/>
    <w:rsid w:val="0078350E"/>
    <w:rsid w:val="0078480D"/>
    <w:rsid w:val="00784C42"/>
    <w:rsid w:val="00787885"/>
    <w:rsid w:val="007904E8"/>
    <w:rsid w:val="00790A24"/>
    <w:rsid w:val="007927F1"/>
    <w:rsid w:val="00792B55"/>
    <w:rsid w:val="00792D36"/>
    <w:rsid w:val="007930F8"/>
    <w:rsid w:val="00793184"/>
    <w:rsid w:val="00793DD2"/>
    <w:rsid w:val="00794B12"/>
    <w:rsid w:val="00795105"/>
    <w:rsid w:val="007970B1"/>
    <w:rsid w:val="007978F0"/>
    <w:rsid w:val="007A021E"/>
    <w:rsid w:val="007A08E6"/>
    <w:rsid w:val="007A0F47"/>
    <w:rsid w:val="007A1941"/>
    <w:rsid w:val="007A2260"/>
    <w:rsid w:val="007A2480"/>
    <w:rsid w:val="007A2551"/>
    <w:rsid w:val="007A2DA9"/>
    <w:rsid w:val="007A3186"/>
    <w:rsid w:val="007A3AF2"/>
    <w:rsid w:val="007A439C"/>
    <w:rsid w:val="007A5BF5"/>
    <w:rsid w:val="007A6182"/>
    <w:rsid w:val="007A61C2"/>
    <w:rsid w:val="007A6DA7"/>
    <w:rsid w:val="007B08CE"/>
    <w:rsid w:val="007B1799"/>
    <w:rsid w:val="007B1B4C"/>
    <w:rsid w:val="007B2095"/>
    <w:rsid w:val="007B2E9F"/>
    <w:rsid w:val="007B3325"/>
    <w:rsid w:val="007B362B"/>
    <w:rsid w:val="007B3C5B"/>
    <w:rsid w:val="007B42AD"/>
    <w:rsid w:val="007B42F6"/>
    <w:rsid w:val="007B4D4B"/>
    <w:rsid w:val="007B553B"/>
    <w:rsid w:val="007B5B95"/>
    <w:rsid w:val="007B5C5E"/>
    <w:rsid w:val="007B5D45"/>
    <w:rsid w:val="007B70C9"/>
    <w:rsid w:val="007B7A69"/>
    <w:rsid w:val="007C0213"/>
    <w:rsid w:val="007C0745"/>
    <w:rsid w:val="007C0A00"/>
    <w:rsid w:val="007C1157"/>
    <w:rsid w:val="007C215C"/>
    <w:rsid w:val="007C2B96"/>
    <w:rsid w:val="007C3738"/>
    <w:rsid w:val="007C3807"/>
    <w:rsid w:val="007C3AB3"/>
    <w:rsid w:val="007C61BF"/>
    <w:rsid w:val="007C76CD"/>
    <w:rsid w:val="007C7E63"/>
    <w:rsid w:val="007D0064"/>
    <w:rsid w:val="007D0341"/>
    <w:rsid w:val="007D059F"/>
    <w:rsid w:val="007D08E4"/>
    <w:rsid w:val="007D227D"/>
    <w:rsid w:val="007D28CD"/>
    <w:rsid w:val="007D308D"/>
    <w:rsid w:val="007D3707"/>
    <w:rsid w:val="007D3E5B"/>
    <w:rsid w:val="007D513D"/>
    <w:rsid w:val="007D5960"/>
    <w:rsid w:val="007D60D3"/>
    <w:rsid w:val="007D65AA"/>
    <w:rsid w:val="007D6CE8"/>
    <w:rsid w:val="007D6EB8"/>
    <w:rsid w:val="007D73CB"/>
    <w:rsid w:val="007E03B8"/>
    <w:rsid w:val="007E1428"/>
    <w:rsid w:val="007E166A"/>
    <w:rsid w:val="007E1AD1"/>
    <w:rsid w:val="007E2535"/>
    <w:rsid w:val="007E2D5F"/>
    <w:rsid w:val="007E2EFA"/>
    <w:rsid w:val="007E3221"/>
    <w:rsid w:val="007E35E7"/>
    <w:rsid w:val="007E3D9C"/>
    <w:rsid w:val="007E3FD7"/>
    <w:rsid w:val="007E4DC0"/>
    <w:rsid w:val="007E4E28"/>
    <w:rsid w:val="007E4ED2"/>
    <w:rsid w:val="007E5196"/>
    <w:rsid w:val="007E5211"/>
    <w:rsid w:val="007E67D0"/>
    <w:rsid w:val="007E6B8C"/>
    <w:rsid w:val="007F025D"/>
    <w:rsid w:val="007F0883"/>
    <w:rsid w:val="007F1E85"/>
    <w:rsid w:val="007F1FD4"/>
    <w:rsid w:val="007F1FED"/>
    <w:rsid w:val="007F29F8"/>
    <w:rsid w:val="007F3006"/>
    <w:rsid w:val="007F42C0"/>
    <w:rsid w:val="007F45ED"/>
    <w:rsid w:val="007F4782"/>
    <w:rsid w:val="007F52A2"/>
    <w:rsid w:val="007F5629"/>
    <w:rsid w:val="007F692C"/>
    <w:rsid w:val="007F6A9F"/>
    <w:rsid w:val="00800125"/>
    <w:rsid w:val="0080129F"/>
    <w:rsid w:val="00801311"/>
    <w:rsid w:val="00801B03"/>
    <w:rsid w:val="00801F58"/>
    <w:rsid w:val="00802064"/>
    <w:rsid w:val="00802716"/>
    <w:rsid w:val="00804A52"/>
    <w:rsid w:val="00806F93"/>
    <w:rsid w:val="0081017C"/>
    <w:rsid w:val="008103D8"/>
    <w:rsid w:val="00810583"/>
    <w:rsid w:val="00810A52"/>
    <w:rsid w:val="00810B4F"/>
    <w:rsid w:val="00811275"/>
    <w:rsid w:val="0081174E"/>
    <w:rsid w:val="00811A06"/>
    <w:rsid w:val="00812093"/>
    <w:rsid w:val="00812851"/>
    <w:rsid w:val="008141D7"/>
    <w:rsid w:val="00814A0F"/>
    <w:rsid w:val="008166B7"/>
    <w:rsid w:val="00817925"/>
    <w:rsid w:val="00820153"/>
    <w:rsid w:val="0082068C"/>
    <w:rsid w:val="00820763"/>
    <w:rsid w:val="00820EC2"/>
    <w:rsid w:val="0082110A"/>
    <w:rsid w:val="008214E0"/>
    <w:rsid w:val="008220FF"/>
    <w:rsid w:val="00822441"/>
    <w:rsid w:val="00822512"/>
    <w:rsid w:val="0082324E"/>
    <w:rsid w:val="008250F6"/>
    <w:rsid w:val="00825D29"/>
    <w:rsid w:val="00825FB9"/>
    <w:rsid w:val="00826128"/>
    <w:rsid w:val="00826CB8"/>
    <w:rsid w:val="008273D8"/>
    <w:rsid w:val="00830432"/>
    <w:rsid w:val="0083053A"/>
    <w:rsid w:val="008323CF"/>
    <w:rsid w:val="00832C08"/>
    <w:rsid w:val="00833703"/>
    <w:rsid w:val="008337D9"/>
    <w:rsid w:val="00833DCA"/>
    <w:rsid w:val="00833E21"/>
    <w:rsid w:val="00834B50"/>
    <w:rsid w:val="00835686"/>
    <w:rsid w:val="00835852"/>
    <w:rsid w:val="00835CB3"/>
    <w:rsid w:val="00837CF0"/>
    <w:rsid w:val="0084082A"/>
    <w:rsid w:val="00840A45"/>
    <w:rsid w:val="00840F4F"/>
    <w:rsid w:val="00841039"/>
    <w:rsid w:val="00841D61"/>
    <w:rsid w:val="00843A04"/>
    <w:rsid w:val="00843A29"/>
    <w:rsid w:val="00844672"/>
    <w:rsid w:val="00844930"/>
    <w:rsid w:val="0084536F"/>
    <w:rsid w:val="008453EB"/>
    <w:rsid w:val="00845716"/>
    <w:rsid w:val="00845D6D"/>
    <w:rsid w:val="00845DDD"/>
    <w:rsid w:val="0084754E"/>
    <w:rsid w:val="00847DDE"/>
    <w:rsid w:val="00847FB9"/>
    <w:rsid w:val="00852945"/>
    <w:rsid w:val="00852AF2"/>
    <w:rsid w:val="00852CD2"/>
    <w:rsid w:val="00852D53"/>
    <w:rsid w:val="008530B4"/>
    <w:rsid w:val="008543C2"/>
    <w:rsid w:val="00854857"/>
    <w:rsid w:val="00854E5D"/>
    <w:rsid w:val="008552F0"/>
    <w:rsid w:val="008555B8"/>
    <w:rsid w:val="00856239"/>
    <w:rsid w:val="008566BB"/>
    <w:rsid w:val="008615E4"/>
    <w:rsid w:val="0086217F"/>
    <w:rsid w:val="00862896"/>
    <w:rsid w:val="00862F3C"/>
    <w:rsid w:val="00863BBE"/>
    <w:rsid w:val="008653E9"/>
    <w:rsid w:val="00865880"/>
    <w:rsid w:val="008658A6"/>
    <w:rsid w:val="0086723C"/>
    <w:rsid w:val="00867678"/>
    <w:rsid w:val="00867E49"/>
    <w:rsid w:val="00867F88"/>
    <w:rsid w:val="00870B86"/>
    <w:rsid w:val="0087129B"/>
    <w:rsid w:val="008723B8"/>
    <w:rsid w:val="00873430"/>
    <w:rsid w:val="00873697"/>
    <w:rsid w:val="0087457A"/>
    <w:rsid w:val="0087489B"/>
    <w:rsid w:val="00875686"/>
    <w:rsid w:val="008760AE"/>
    <w:rsid w:val="00876792"/>
    <w:rsid w:val="008768F3"/>
    <w:rsid w:val="0088035C"/>
    <w:rsid w:val="00880EE0"/>
    <w:rsid w:val="008816BD"/>
    <w:rsid w:val="00881EF4"/>
    <w:rsid w:val="0088208C"/>
    <w:rsid w:val="00882C3F"/>
    <w:rsid w:val="00883966"/>
    <w:rsid w:val="00883B62"/>
    <w:rsid w:val="00883CEB"/>
    <w:rsid w:val="00884007"/>
    <w:rsid w:val="0088425D"/>
    <w:rsid w:val="008876FA"/>
    <w:rsid w:val="008903F9"/>
    <w:rsid w:val="008907A9"/>
    <w:rsid w:val="00890B16"/>
    <w:rsid w:val="00891727"/>
    <w:rsid w:val="0089198A"/>
    <w:rsid w:val="008927F8"/>
    <w:rsid w:val="00893CAA"/>
    <w:rsid w:val="00893D42"/>
    <w:rsid w:val="008946A6"/>
    <w:rsid w:val="00894804"/>
    <w:rsid w:val="008951FF"/>
    <w:rsid w:val="008953F6"/>
    <w:rsid w:val="00895C97"/>
    <w:rsid w:val="00896036"/>
    <w:rsid w:val="008967AB"/>
    <w:rsid w:val="00896940"/>
    <w:rsid w:val="00897004"/>
    <w:rsid w:val="00897021"/>
    <w:rsid w:val="0089774D"/>
    <w:rsid w:val="008A00D1"/>
    <w:rsid w:val="008A069F"/>
    <w:rsid w:val="008A0879"/>
    <w:rsid w:val="008A0A0E"/>
    <w:rsid w:val="008A0C8B"/>
    <w:rsid w:val="008A1027"/>
    <w:rsid w:val="008A1DE7"/>
    <w:rsid w:val="008A2F15"/>
    <w:rsid w:val="008A38F4"/>
    <w:rsid w:val="008A4365"/>
    <w:rsid w:val="008A4C45"/>
    <w:rsid w:val="008A4F7C"/>
    <w:rsid w:val="008A530C"/>
    <w:rsid w:val="008A6BB9"/>
    <w:rsid w:val="008B14F3"/>
    <w:rsid w:val="008B1E2B"/>
    <w:rsid w:val="008B2133"/>
    <w:rsid w:val="008B23B2"/>
    <w:rsid w:val="008B2511"/>
    <w:rsid w:val="008B2F88"/>
    <w:rsid w:val="008B34FE"/>
    <w:rsid w:val="008B3939"/>
    <w:rsid w:val="008B48A2"/>
    <w:rsid w:val="008B502C"/>
    <w:rsid w:val="008B65C5"/>
    <w:rsid w:val="008B7870"/>
    <w:rsid w:val="008B7DF9"/>
    <w:rsid w:val="008C0FF7"/>
    <w:rsid w:val="008C226E"/>
    <w:rsid w:val="008C240C"/>
    <w:rsid w:val="008C2C19"/>
    <w:rsid w:val="008C33F4"/>
    <w:rsid w:val="008C3F05"/>
    <w:rsid w:val="008C4F28"/>
    <w:rsid w:val="008C5697"/>
    <w:rsid w:val="008C5709"/>
    <w:rsid w:val="008C5DF5"/>
    <w:rsid w:val="008C5EF7"/>
    <w:rsid w:val="008C5F33"/>
    <w:rsid w:val="008C612E"/>
    <w:rsid w:val="008C7501"/>
    <w:rsid w:val="008C7623"/>
    <w:rsid w:val="008C7F52"/>
    <w:rsid w:val="008D0361"/>
    <w:rsid w:val="008D0730"/>
    <w:rsid w:val="008D106D"/>
    <w:rsid w:val="008D198D"/>
    <w:rsid w:val="008D1FC9"/>
    <w:rsid w:val="008D293B"/>
    <w:rsid w:val="008D2AF0"/>
    <w:rsid w:val="008D2E4C"/>
    <w:rsid w:val="008D3BF9"/>
    <w:rsid w:val="008D5414"/>
    <w:rsid w:val="008D5B2F"/>
    <w:rsid w:val="008D70CE"/>
    <w:rsid w:val="008D742A"/>
    <w:rsid w:val="008D7627"/>
    <w:rsid w:val="008D7A65"/>
    <w:rsid w:val="008E0AAF"/>
    <w:rsid w:val="008E102A"/>
    <w:rsid w:val="008E1C97"/>
    <w:rsid w:val="008E1CB7"/>
    <w:rsid w:val="008E1E4D"/>
    <w:rsid w:val="008E234E"/>
    <w:rsid w:val="008E2603"/>
    <w:rsid w:val="008E2BA2"/>
    <w:rsid w:val="008E2D8D"/>
    <w:rsid w:val="008E33B7"/>
    <w:rsid w:val="008E350C"/>
    <w:rsid w:val="008E3A22"/>
    <w:rsid w:val="008E3DFB"/>
    <w:rsid w:val="008E4CEF"/>
    <w:rsid w:val="008E4DDF"/>
    <w:rsid w:val="008E71E8"/>
    <w:rsid w:val="008F013A"/>
    <w:rsid w:val="008F0353"/>
    <w:rsid w:val="008F04D4"/>
    <w:rsid w:val="008F08B9"/>
    <w:rsid w:val="008F08C1"/>
    <w:rsid w:val="008F1541"/>
    <w:rsid w:val="008F1D7A"/>
    <w:rsid w:val="008F2944"/>
    <w:rsid w:val="008F2CBE"/>
    <w:rsid w:val="008F326D"/>
    <w:rsid w:val="008F34CE"/>
    <w:rsid w:val="008F35CA"/>
    <w:rsid w:val="008F3DE7"/>
    <w:rsid w:val="008F4747"/>
    <w:rsid w:val="008F4966"/>
    <w:rsid w:val="008F50B2"/>
    <w:rsid w:val="008F55DC"/>
    <w:rsid w:val="008F5A17"/>
    <w:rsid w:val="008F6F5C"/>
    <w:rsid w:val="00900A0D"/>
    <w:rsid w:val="00900A33"/>
    <w:rsid w:val="00900BA1"/>
    <w:rsid w:val="00901BF3"/>
    <w:rsid w:val="00901EF4"/>
    <w:rsid w:val="00903372"/>
    <w:rsid w:val="00903FA1"/>
    <w:rsid w:val="00904FEB"/>
    <w:rsid w:val="009050B4"/>
    <w:rsid w:val="00905238"/>
    <w:rsid w:val="00905BE2"/>
    <w:rsid w:val="009060E9"/>
    <w:rsid w:val="009069F9"/>
    <w:rsid w:val="00906C7D"/>
    <w:rsid w:val="009073BD"/>
    <w:rsid w:val="009075C2"/>
    <w:rsid w:val="009107A2"/>
    <w:rsid w:val="009109F5"/>
    <w:rsid w:val="009113CC"/>
    <w:rsid w:val="00912FF2"/>
    <w:rsid w:val="00913129"/>
    <w:rsid w:val="0091362D"/>
    <w:rsid w:val="00913E85"/>
    <w:rsid w:val="009140AC"/>
    <w:rsid w:val="009141E4"/>
    <w:rsid w:val="00914D24"/>
    <w:rsid w:val="00915E96"/>
    <w:rsid w:val="00917D33"/>
    <w:rsid w:val="0092202A"/>
    <w:rsid w:val="00922F50"/>
    <w:rsid w:val="00922F8B"/>
    <w:rsid w:val="00923784"/>
    <w:rsid w:val="00923CB8"/>
    <w:rsid w:val="00924277"/>
    <w:rsid w:val="009242FF"/>
    <w:rsid w:val="009247A9"/>
    <w:rsid w:val="009248A3"/>
    <w:rsid w:val="009252C6"/>
    <w:rsid w:val="0092544A"/>
    <w:rsid w:val="0092681D"/>
    <w:rsid w:val="009268D4"/>
    <w:rsid w:val="00926B02"/>
    <w:rsid w:val="0093057C"/>
    <w:rsid w:val="00930F76"/>
    <w:rsid w:val="009310F9"/>
    <w:rsid w:val="00931268"/>
    <w:rsid w:val="009322E5"/>
    <w:rsid w:val="0093244C"/>
    <w:rsid w:val="00933086"/>
    <w:rsid w:val="0093309B"/>
    <w:rsid w:val="00933167"/>
    <w:rsid w:val="0093428B"/>
    <w:rsid w:val="009344FF"/>
    <w:rsid w:val="009346F5"/>
    <w:rsid w:val="0093621D"/>
    <w:rsid w:val="0093655D"/>
    <w:rsid w:val="009365A0"/>
    <w:rsid w:val="00936667"/>
    <w:rsid w:val="00936816"/>
    <w:rsid w:val="00936AED"/>
    <w:rsid w:val="00936BAB"/>
    <w:rsid w:val="009373A9"/>
    <w:rsid w:val="009376F8"/>
    <w:rsid w:val="0094026D"/>
    <w:rsid w:val="00940A1E"/>
    <w:rsid w:val="0094103E"/>
    <w:rsid w:val="009416EC"/>
    <w:rsid w:val="00941C85"/>
    <w:rsid w:val="00941FEE"/>
    <w:rsid w:val="00942B05"/>
    <w:rsid w:val="00942F5A"/>
    <w:rsid w:val="00942F63"/>
    <w:rsid w:val="00944264"/>
    <w:rsid w:val="0094446D"/>
    <w:rsid w:val="0094454A"/>
    <w:rsid w:val="009449A4"/>
    <w:rsid w:val="009454A5"/>
    <w:rsid w:val="00945ADE"/>
    <w:rsid w:val="00945CE0"/>
    <w:rsid w:val="00946E73"/>
    <w:rsid w:val="00946F06"/>
    <w:rsid w:val="00947458"/>
    <w:rsid w:val="009500EE"/>
    <w:rsid w:val="009503F8"/>
    <w:rsid w:val="00950996"/>
    <w:rsid w:val="00951DAD"/>
    <w:rsid w:val="00951F93"/>
    <w:rsid w:val="00952F79"/>
    <w:rsid w:val="00953038"/>
    <w:rsid w:val="00953B01"/>
    <w:rsid w:val="00953BE5"/>
    <w:rsid w:val="00954869"/>
    <w:rsid w:val="00954C6E"/>
    <w:rsid w:val="00954FC5"/>
    <w:rsid w:val="00955024"/>
    <w:rsid w:val="00956735"/>
    <w:rsid w:val="0095695E"/>
    <w:rsid w:val="00956CAF"/>
    <w:rsid w:val="009625A9"/>
    <w:rsid w:val="00962605"/>
    <w:rsid w:val="00962721"/>
    <w:rsid w:val="00962DEB"/>
    <w:rsid w:val="009633E4"/>
    <w:rsid w:val="00963C38"/>
    <w:rsid w:val="00964232"/>
    <w:rsid w:val="009646AA"/>
    <w:rsid w:val="0096497F"/>
    <w:rsid w:val="00964D86"/>
    <w:rsid w:val="00964F67"/>
    <w:rsid w:val="0096502E"/>
    <w:rsid w:val="009654F8"/>
    <w:rsid w:val="00965E64"/>
    <w:rsid w:val="00965F9F"/>
    <w:rsid w:val="009660B1"/>
    <w:rsid w:val="00966FEE"/>
    <w:rsid w:val="009673BC"/>
    <w:rsid w:val="009673FB"/>
    <w:rsid w:val="009676F1"/>
    <w:rsid w:val="00967743"/>
    <w:rsid w:val="00967D4A"/>
    <w:rsid w:val="0097073D"/>
    <w:rsid w:val="00970A19"/>
    <w:rsid w:val="00970C6C"/>
    <w:rsid w:val="0097145A"/>
    <w:rsid w:val="00971D26"/>
    <w:rsid w:val="00973192"/>
    <w:rsid w:val="009738AF"/>
    <w:rsid w:val="00974855"/>
    <w:rsid w:val="009757E9"/>
    <w:rsid w:val="00975CE7"/>
    <w:rsid w:val="00975D96"/>
    <w:rsid w:val="00976CC6"/>
    <w:rsid w:val="00977BBC"/>
    <w:rsid w:val="00980583"/>
    <w:rsid w:val="00980BEA"/>
    <w:rsid w:val="00980C9E"/>
    <w:rsid w:val="00980DBF"/>
    <w:rsid w:val="00981382"/>
    <w:rsid w:val="009818F9"/>
    <w:rsid w:val="00982667"/>
    <w:rsid w:val="00982B56"/>
    <w:rsid w:val="0098416C"/>
    <w:rsid w:val="009844A4"/>
    <w:rsid w:val="00984A86"/>
    <w:rsid w:val="0098676D"/>
    <w:rsid w:val="00986897"/>
    <w:rsid w:val="0098714A"/>
    <w:rsid w:val="00990426"/>
    <w:rsid w:val="00990B06"/>
    <w:rsid w:val="00991857"/>
    <w:rsid w:val="0099199C"/>
    <w:rsid w:val="009921B7"/>
    <w:rsid w:val="009924B4"/>
    <w:rsid w:val="00992A51"/>
    <w:rsid w:val="009930E4"/>
    <w:rsid w:val="0099344E"/>
    <w:rsid w:val="00994571"/>
    <w:rsid w:val="00994620"/>
    <w:rsid w:val="0099469B"/>
    <w:rsid w:val="009957F4"/>
    <w:rsid w:val="00995D2D"/>
    <w:rsid w:val="009968DE"/>
    <w:rsid w:val="0099735B"/>
    <w:rsid w:val="009974DE"/>
    <w:rsid w:val="00997595"/>
    <w:rsid w:val="009A0446"/>
    <w:rsid w:val="009A109B"/>
    <w:rsid w:val="009A1A9C"/>
    <w:rsid w:val="009A1D19"/>
    <w:rsid w:val="009A24BC"/>
    <w:rsid w:val="009A26BC"/>
    <w:rsid w:val="009A3691"/>
    <w:rsid w:val="009A3984"/>
    <w:rsid w:val="009A47B8"/>
    <w:rsid w:val="009A5561"/>
    <w:rsid w:val="009A5B31"/>
    <w:rsid w:val="009A5EE9"/>
    <w:rsid w:val="009A6A5B"/>
    <w:rsid w:val="009A7AC1"/>
    <w:rsid w:val="009A7F8D"/>
    <w:rsid w:val="009B0265"/>
    <w:rsid w:val="009B0802"/>
    <w:rsid w:val="009B0836"/>
    <w:rsid w:val="009B1104"/>
    <w:rsid w:val="009B13DD"/>
    <w:rsid w:val="009B16A0"/>
    <w:rsid w:val="009B1ABB"/>
    <w:rsid w:val="009B24C6"/>
    <w:rsid w:val="009B29D9"/>
    <w:rsid w:val="009B5080"/>
    <w:rsid w:val="009B59EA"/>
    <w:rsid w:val="009B5A20"/>
    <w:rsid w:val="009B7292"/>
    <w:rsid w:val="009B7424"/>
    <w:rsid w:val="009B7716"/>
    <w:rsid w:val="009B7B17"/>
    <w:rsid w:val="009B7CCB"/>
    <w:rsid w:val="009B7F41"/>
    <w:rsid w:val="009C0A13"/>
    <w:rsid w:val="009C0BA9"/>
    <w:rsid w:val="009C2054"/>
    <w:rsid w:val="009C2DBC"/>
    <w:rsid w:val="009C31B4"/>
    <w:rsid w:val="009C398B"/>
    <w:rsid w:val="009C3D49"/>
    <w:rsid w:val="009C401E"/>
    <w:rsid w:val="009C4570"/>
    <w:rsid w:val="009C4821"/>
    <w:rsid w:val="009C530E"/>
    <w:rsid w:val="009C6C30"/>
    <w:rsid w:val="009C6F00"/>
    <w:rsid w:val="009C722C"/>
    <w:rsid w:val="009C7625"/>
    <w:rsid w:val="009C7915"/>
    <w:rsid w:val="009D05D7"/>
    <w:rsid w:val="009D0C5B"/>
    <w:rsid w:val="009D103C"/>
    <w:rsid w:val="009D1123"/>
    <w:rsid w:val="009D1C50"/>
    <w:rsid w:val="009D2731"/>
    <w:rsid w:val="009D31FF"/>
    <w:rsid w:val="009D4C6B"/>
    <w:rsid w:val="009D5122"/>
    <w:rsid w:val="009D5FC5"/>
    <w:rsid w:val="009D6204"/>
    <w:rsid w:val="009D66AC"/>
    <w:rsid w:val="009D6EDD"/>
    <w:rsid w:val="009E1B74"/>
    <w:rsid w:val="009E1C3F"/>
    <w:rsid w:val="009E2212"/>
    <w:rsid w:val="009E2553"/>
    <w:rsid w:val="009E26B4"/>
    <w:rsid w:val="009E32CB"/>
    <w:rsid w:val="009E33C2"/>
    <w:rsid w:val="009E54E4"/>
    <w:rsid w:val="009E78DF"/>
    <w:rsid w:val="009E7901"/>
    <w:rsid w:val="009E791E"/>
    <w:rsid w:val="009F0AE9"/>
    <w:rsid w:val="009F0C43"/>
    <w:rsid w:val="009F11AA"/>
    <w:rsid w:val="009F13CA"/>
    <w:rsid w:val="009F2C70"/>
    <w:rsid w:val="009F4DAA"/>
    <w:rsid w:val="009F62BA"/>
    <w:rsid w:val="009F64ED"/>
    <w:rsid w:val="009F7DE3"/>
    <w:rsid w:val="00A003AA"/>
    <w:rsid w:val="00A00A11"/>
    <w:rsid w:val="00A01198"/>
    <w:rsid w:val="00A01394"/>
    <w:rsid w:val="00A01502"/>
    <w:rsid w:val="00A01823"/>
    <w:rsid w:val="00A02417"/>
    <w:rsid w:val="00A043C4"/>
    <w:rsid w:val="00A05613"/>
    <w:rsid w:val="00A05AE7"/>
    <w:rsid w:val="00A06FBA"/>
    <w:rsid w:val="00A07025"/>
    <w:rsid w:val="00A0744D"/>
    <w:rsid w:val="00A07CA2"/>
    <w:rsid w:val="00A102F4"/>
    <w:rsid w:val="00A108A6"/>
    <w:rsid w:val="00A10921"/>
    <w:rsid w:val="00A10BEB"/>
    <w:rsid w:val="00A10C43"/>
    <w:rsid w:val="00A114A1"/>
    <w:rsid w:val="00A11531"/>
    <w:rsid w:val="00A12EC3"/>
    <w:rsid w:val="00A13067"/>
    <w:rsid w:val="00A1345C"/>
    <w:rsid w:val="00A137EF"/>
    <w:rsid w:val="00A13B8F"/>
    <w:rsid w:val="00A1423A"/>
    <w:rsid w:val="00A147D5"/>
    <w:rsid w:val="00A1494D"/>
    <w:rsid w:val="00A15DA3"/>
    <w:rsid w:val="00A1659F"/>
    <w:rsid w:val="00A1684A"/>
    <w:rsid w:val="00A175B5"/>
    <w:rsid w:val="00A1762D"/>
    <w:rsid w:val="00A21053"/>
    <w:rsid w:val="00A2111C"/>
    <w:rsid w:val="00A21AE2"/>
    <w:rsid w:val="00A21DC7"/>
    <w:rsid w:val="00A22885"/>
    <w:rsid w:val="00A23214"/>
    <w:rsid w:val="00A23709"/>
    <w:rsid w:val="00A24B11"/>
    <w:rsid w:val="00A24BFE"/>
    <w:rsid w:val="00A252BE"/>
    <w:rsid w:val="00A25C90"/>
    <w:rsid w:val="00A26048"/>
    <w:rsid w:val="00A2639B"/>
    <w:rsid w:val="00A2668A"/>
    <w:rsid w:val="00A2669D"/>
    <w:rsid w:val="00A27035"/>
    <w:rsid w:val="00A270EF"/>
    <w:rsid w:val="00A2781D"/>
    <w:rsid w:val="00A27CA8"/>
    <w:rsid w:val="00A27D9A"/>
    <w:rsid w:val="00A307F2"/>
    <w:rsid w:val="00A310D0"/>
    <w:rsid w:val="00A33A71"/>
    <w:rsid w:val="00A33CFD"/>
    <w:rsid w:val="00A352A7"/>
    <w:rsid w:val="00A35716"/>
    <w:rsid w:val="00A35EDC"/>
    <w:rsid w:val="00A37575"/>
    <w:rsid w:val="00A37632"/>
    <w:rsid w:val="00A37900"/>
    <w:rsid w:val="00A37D91"/>
    <w:rsid w:val="00A40A1F"/>
    <w:rsid w:val="00A413F3"/>
    <w:rsid w:val="00A420FF"/>
    <w:rsid w:val="00A429AF"/>
    <w:rsid w:val="00A42DA9"/>
    <w:rsid w:val="00A4491A"/>
    <w:rsid w:val="00A44B8C"/>
    <w:rsid w:val="00A45C87"/>
    <w:rsid w:val="00A47420"/>
    <w:rsid w:val="00A50724"/>
    <w:rsid w:val="00A512E9"/>
    <w:rsid w:val="00A5186E"/>
    <w:rsid w:val="00A52294"/>
    <w:rsid w:val="00A527E4"/>
    <w:rsid w:val="00A52CC6"/>
    <w:rsid w:val="00A534B4"/>
    <w:rsid w:val="00A537E5"/>
    <w:rsid w:val="00A53E47"/>
    <w:rsid w:val="00A5425D"/>
    <w:rsid w:val="00A542C6"/>
    <w:rsid w:val="00A54360"/>
    <w:rsid w:val="00A5536A"/>
    <w:rsid w:val="00A55AD7"/>
    <w:rsid w:val="00A55E6F"/>
    <w:rsid w:val="00A5767A"/>
    <w:rsid w:val="00A57BC2"/>
    <w:rsid w:val="00A60C2E"/>
    <w:rsid w:val="00A615CF"/>
    <w:rsid w:val="00A620D4"/>
    <w:rsid w:val="00A62498"/>
    <w:rsid w:val="00A62554"/>
    <w:rsid w:val="00A626C6"/>
    <w:rsid w:val="00A64C0F"/>
    <w:rsid w:val="00A64F3C"/>
    <w:rsid w:val="00A65101"/>
    <w:rsid w:val="00A65BE1"/>
    <w:rsid w:val="00A65CFD"/>
    <w:rsid w:val="00A671B1"/>
    <w:rsid w:val="00A679F3"/>
    <w:rsid w:val="00A701BD"/>
    <w:rsid w:val="00A709F9"/>
    <w:rsid w:val="00A71657"/>
    <w:rsid w:val="00A71CBB"/>
    <w:rsid w:val="00A71DCC"/>
    <w:rsid w:val="00A72FE8"/>
    <w:rsid w:val="00A73CB3"/>
    <w:rsid w:val="00A74187"/>
    <w:rsid w:val="00A74EA1"/>
    <w:rsid w:val="00A758EF"/>
    <w:rsid w:val="00A762BF"/>
    <w:rsid w:val="00A76312"/>
    <w:rsid w:val="00A76D6E"/>
    <w:rsid w:val="00A7769F"/>
    <w:rsid w:val="00A8198C"/>
    <w:rsid w:val="00A82A2F"/>
    <w:rsid w:val="00A83435"/>
    <w:rsid w:val="00A83708"/>
    <w:rsid w:val="00A83904"/>
    <w:rsid w:val="00A8424F"/>
    <w:rsid w:val="00A84F0F"/>
    <w:rsid w:val="00A85F2A"/>
    <w:rsid w:val="00A878DF"/>
    <w:rsid w:val="00A87A16"/>
    <w:rsid w:val="00A904DC"/>
    <w:rsid w:val="00A9195F"/>
    <w:rsid w:val="00A923E1"/>
    <w:rsid w:val="00A92969"/>
    <w:rsid w:val="00A929AD"/>
    <w:rsid w:val="00A93A91"/>
    <w:rsid w:val="00A9421D"/>
    <w:rsid w:val="00A9427D"/>
    <w:rsid w:val="00A9453F"/>
    <w:rsid w:val="00A958A0"/>
    <w:rsid w:val="00A95A10"/>
    <w:rsid w:val="00A96E92"/>
    <w:rsid w:val="00A970C5"/>
    <w:rsid w:val="00AA04D7"/>
    <w:rsid w:val="00AA06A7"/>
    <w:rsid w:val="00AA06FB"/>
    <w:rsid w:val="00AA2818"/>
    <w:rsid w:val="00AA2AA3"/>
    <w:rsid w:val="00AA32E3"/>
    <w:rsid w:val="00AA3C0B"/>
    <w:rsid w:val="00AA3DBC"/>
    <w:rsid w:val="00AA41C0"/>
    <w:rsid w:val="00AA4338"/>
    <w:rsid w:val="00AA49AB"/>
    <w:rsid w:val="00AA4E2D"/>
    <w:rsid w:val="00AA59EF"/>
    <w:rsid w:val="00AA5A5D"/>
    <w:rsid w:val="00AA6619"/>
    <w:rsid w:val="00AA66DB"/>
    <w:rsid w:val="00AA6C3A"/>
    <w:rsid w:val="00AA7B61"/>
    <w:rsid w:val="00AA7E3B"/>
    <w:rsid w:val="00AB088B"/>
    <w:rsid w:val="00AB1990"/>
    <w:rsid w:val="00AB25C9"/>
    <w:rsid w:val="00AB30A5"/>
    <w:rsid w:val="00AB30E0"/>
    <w:rsid w:val="00AB316C"/>
    <w:rsid w:val="00AB4F53"/>
    <w:rsid w:val="00AB4FEE"/>
    <w:rsid w:val="00AB5250"/>
    <w:rsid w:val="00AB5970"/>
    <w:rsid w:val="00AB5D80"/>
    <w:rsid w:val="00AB5F97"/>
    <w:rsid w:val="00AB61B8"/>
    <w:rsid w:val="00AB69FD"/>
    <w:rsid w:val="00AB70EE"/>
    <w:rsid w:val="00AB7919"/>
    <w:rsid w:val="00AC2ACA"/>
    <w:rsid w:val="00AC34D3"/>
    <w:rsid w:val="00AC3548"/>
    <w:rsid w:val="00AC576E"/>
    <w:rsid w:val="00AC5D71"/>
    <w:rsid w:val="00AC5F18"/>
    <w:rsid w:val="00AC601A"/>
    <w:rsid w:val="00AC64A1"/>
    <w:rsid w:val="00AC6845"/>
    <w:rsid w:val="00AC7122"/>
    <w:rsid w:val="00AC7475"/>
    <w:rsid w:val="00AC7A42"/>
    <w:rsid w:val="00AD1585"/>
    <w:rsid w:val="00AD1AC6"/>
    <w:rsid w:val="00AD1CDA"/>
    <w:rsid w:val="00AD1F98"/>
    <w:rsid w:val="00AD1F99"/>
    <w:rsid w:val="00AD2766"/>
    <w:rsid w:val="00AD2C6B"/>
    <w:rsid w:val="00AD2CC2"/>
    <w:rsid w:val="00AD469E"/>
    <w:rsid w:val="00AD4CD0"/>
    <w:rsid w:val="00AD4F6D"/>
    <w:rsid w:val="00AD57F4"/>
    <w:rsid w:val="00AD5C8B"/>
    <w:rsid w:val="00AD6231"/>
    <w:rsid w:val="00AD633F"/>
    <w:rsid w:val="00AD6512"/>
    <w:rsid w:val="00AD6E92"/>
    <w:rsid w:val="00AD727E"/>
    <w:rsid w:val="00AD79B4"/>
    <w:rsid w:val="00AD7FA4"/>
    <w:rsid w:val="00AE0430"/>
    <w:rsid w:val="00AE06F5"/>
    <w:rsid w:val="00AE08D7"/>
    <w:rsid w:val="00AE0DC9"/>
    <w:rsid w:val="00AE1472"/>
    <w:rsid w:val="00AE16F3"/>
    <w:rsid w:val="00AE1CC3"/>
    <w:rsid w:val="00AE2027"/>
    <w:rsid w:val="00AE2676"/>
    <w:rsid w:val="00AE2C01"/>
    <w:rsid w:val="00AE452C"/>
    <w:rsid w:val="00AE5A7D"/>
    <w:rsid w:val="00AE6F19"/>
    <w:rsid w:val="00AE6FCE"/>
    <w:rsid w:val="00AE74B8"/>
    <w:rsid w:val="00AE74EF"/>
    <w:rsid w:val="00AE7886"/>
    <w:rsid w:val="00AE7B95"/>
    <w:rsid w:val="00AE7F4F"/>
    <w:rsid w:val="00AF19FE"/>
    <w:rsid w:val="00AF1AB6"/>
    <w:rsid w:val="00AF21AF"/>
    <w:rsid w:val="00AF277B"/>
    <w:rsid w:val="00AF2B71"/>
    <w:rsid w:val="00AF2BF3"/>
    <w:rsid w:val="00AF32DE"/>
    <w:rsid w:val="00AF36DA"/>
    <w:rsid w:val="00AF3C84"/>
    <w:rsid w:val="00AF3CAE"/>
    <w:rsid w:val="00AF4AA9"/>
    <w:rsid w:val="00AF6BC3"/>
    <w:rsid w:val="00AF71AB"/>
    <w:rsid w:val="00AF7442"/>
    <w:rsid w:val="00B018A4"/>
    <w:rsid w:val="00B02931"/>
    <w:rsid w:val="00B02BD6"/>
    <w:rsid w:val="00B02DC9"/>
    <w:rsid w:val="00B02F1C"/>
    <w:rsid w:val="00B02FB9"/>
    <w:rsid w:val="00B043D6"/>
    <w:rsid w:val="00B054FE"/>
    <w:rsid w:val="00B05F13"/>
    <w:rsid w:val="00B05F48"/>
    <w:rsid w:val="00B0694B"/>
    <w:rsid w:val="00B069A9"/>
    <w:rsid w:val="00B06BB7"/>
    <w:rsid w:val="00B06C9E"/>
    <w:rsid w:val="00B0745F"/>
    <w:rsid w:val="00B07523"/>
    <w:rsid w:val="00B10A08"/>
    <w:rsid w:val="00B1168F"/>
    <w:rsid w:val="00B11A6C"/>
    <w:rsid w:val="00B11C77"/>
    <w:rsid w:val="00B143DD"/>
    <w:rsid w:val="00B14E47"/>
    <w:rsid w:val="00B15BA4"/>
    <w:rsid w:val="00B15C6D"/>
    <w:rsid w:val="00B16E28"/>
    <w:rsid w:val="00B16F5D"/>
    <w:rsid w:val="00B17065"/>
    <w:rsid w:val="00B178C8"/>
    <w:rsid w:val="00B21765"/>
    <w:rsid w:val="00B220B1"/>
    <w:rsid w:val="00B22222"/>
    <w:rsid w:val="00B223D7"/>
    <w:rsid w:val="00B23A04"/>
    <w:rsid w:val="00B23D6D"/>
    <w:rsid w:val="00B23E25"/>
    <w:rsid w:val="00B246C6"/>
    <w:rsid w:val="00B251B7"/>
    <w:rsid w:val="00B26D8D"/>
    <w:rsid w:val="00B2700F"/>
    <w:rsid w:val="00B27896"/>
    <w:rsid w:val="00B30848"/>
    <w:rsid w:val="00B31172"/>
    <w:rsid w:val="00B32238"/>
    <w:rsid w:val="00B33539"/>
    <w:rsid w:val="00B33957"/>
    <w:rsid w:val="00B33B83"/>
    <w:rsid w:val="00B33B85"/>
    <w:rsid w:val="00B343AA"/>
    <w:rsid w:val="00B35867"/>
    <w:rsid w:val="00B36822"/>
    <w:rsid w:val="00B368F4"/>
    <w:rsid w:val="00B37AFD"/>
    <w:rsid w:val="00B401A1"/>
    <w:rsid w:val="00B407D0"/>
    <w:rsid w:val="00B40D6C"/>
    <w:rsid w:val="00B41ACA"/>
    <w:rsid w:val="00B421F4"/>
    <w:rsid w:val="00B43202"/>
    <w:rsid w:val="00B4348D"/>
    <w:rsid w:val="00B437AC"/>
    <w:rsid w:val="00B437E6"/>
    <w:rsid w:val="00B43D4B"/>
    <w:rsid w:val="00B454D5"/>
    <w:rsid w:val="00B45DC8"/>
    <w:rsid w:val="00B4697C"/>
    <w:rsid w:val="00B46D2A"/>
    <w:rsid w:val="00B47698"/>
    <w:rsid w:val="00B504BA"/>
    <w:rsid w:val="00B5094E"/>
    <w:rsid w:val="00B52A5C"/>
    <w:rsid w:val="00B52FDC"/>
    <w:rsid w:val="00B5310D"/>
    <w:rsid w:val="00B537E7"/>
    <w:rsid w:val="00B53C37"/>
    <w:rsid w:val="00B5466D"/>
    <w:rsid w:val="00B56EEF"/>
    <w:rsid w:val="00B57692"/>
    <w:rsid w:val="00B600DF"/>
    <w:rsid w:val="00B604B5"/>
    <w:rsid w:val="00B606D5"/>
    <w:rsid w:val="00B608E7"/>
    <w:rsid w:val="00B61480"/>
    <w:rsid w:val="00B64202"/>
    <w:rsid w:val="00B6543B"/>
    <w:rsid w:val="00B6553D"/>
    <w:rsid w:val="00B65B15"/>
    <w:rsid w:val="00B668FB"/>
    <w:rsid w:val="00B66A7B"/>
    <w:rsid w:val="00B672A5"/>
    <w:rsid w:val="00B7003D"/>
    <w:rsid w:val="00B70B1E"/>
    <w:rsid w:val="00B70BF5"/>
    <w:rsid w:val="00B70DB7"/>
    <w:rsid w:val="00B71ACB"/>
    <w:rsid w:val="00B71FD3"/>
    <w:rsid w:val="00B7333E"/>
    <w:rsid w:val="00B737AA"/>
    <w:rsid w:val="00B7450C"/>
    <w:rsid w:val="00B745C3"/>
    <w:rsid w:val="00B74A92"/>
    <w:rsid w:val="00B75382"/>
    <w:rsid w:val="00B76C7F"/>
    <w:rsid w:val="00B7727C"/>
    <w:rsid w:val="00B77423"/>
    <w:rsid w:val="00B775B9"/>
    <w:rsid w:val="00B77600"/>
    <w:rsid w:val="00B80829"/>
    <w:rsid w:val="00B80F52"/>
    <w:rsid w:val="00B8100E"/>
    <w:rsid w:val="00B8132B"/>
    <w:rsid w:val="00B8321E"/>
    <w:rsid w:val="00B83703"/>
    <w:rsid w:val="00B844F6"/>
    <w:rsid w:val="00B8460C"/>
    <w:rsid w:val="00B848F3"/>
    <w:rsid w:val="00B84AA7"/>
    <w:rsid w:val="00B84E3D"/>
    <w:rsid w:val="00B862C8"/>
    <w:rsid w:val="00B871D0"/>
    <w:rsid w:val="00B87213"/>
    <w:rsid w:val="00B8731D"/>
    <w:rsid w:val="00B876BC"/>
    <w:rsid w:val="00B90948"/>
    <w:rsid w:val="00B91F58"/>
    <w:rsid w:val="00B925C7"/>
    <w:rsid w:val="00B931E2"/>
    <w:rsid w:val="00B94EBC"/>
    <w:rsid w:val="00B9525A"/>
    <w:rsid w:val="00B9549A"/>
    <w:rsid w:val="00B965A1"/>
    <w:rsid w:val="00B96984"/>
    <w:rsid w:val="00B9732F"/>
    <w:rsid w:val="00B97E3D"/>
    <w:rsid w:val="00B97E8B"/>
    <w:rsid w:val="00BA01C7"/>
    <w:rsid w:val="00BA0705"/>
    <w:rsid w:val="00BA0AA6"/>
    <w:rsid w:val="00BA0F4A"/>
    <w:rsid w:val="00BA13D5"/>
    <w:rsid w:val="00BA1CEB"/>
    <w:rsid w:val="00BA2B55"/>
    <w:rsid w:val="00BA2F2A"/>
    <w:rsid w:val="00BA3749"/>
    <w:rsid w:val="00BA3CE7"/>
    <w:rsid w:val="00BA3E56"/>
    <w:rsid w:val="00BA3EEE"/>
    <w:rsid w:val="00BA3F6E"/>
    <w:rsid w:val="00BA4C47"/>
    <w:rsid w:val="00BA6E5E"/>
    <w:rsid w:val="00BA7E68"/>
    <w:rsid w:val="00BB0655"/>
    <w:rsid w:val="00BB1229"/>
    <w:rsid w:val="00BB1D26"/>
    <w:rsid w:val="00BB2173"/>
    <w:rsid w:val="00BB22C9"/>
    <w:rsid w:val="00BB283B"/>
    <w:rsid w:val="00BB287A"/>
    <w:rsid w:val="00BB2AD7"/>
    <w:rsid w:val="00BB39B2"/>
    <w:rsid w:val="00BB3E71"/>
    <w:rsid w:val="00BB3F8A"/>
    <w:rsid w:val="00BB4EC5"/>
    <w:rsid w:val="00BB5C94"/>
    <w:rsid w:val="00BB6133"/>
    <w:rsid w:val="00BB70E7"/>
    <w:rsid w:val="00BB7ED7"/>
    <w:rsid w:val="00BB7FD8"/>
    <w:rsid w:val="00BC044C"/>
    <w:rsid w:val="00BC059A"/>
    <w:rsid w:val="00BC1E65"/>
    <w:rsid w:val="00BC2299"/>
    <w:rsid w:val="00BC27EB"/>
    <w:rsid w:val="00BC2E25"/>
    <w:rsid w:val="00BC38B1"/>
    <w:rsid w:val="00BC42A3"/>
    <w:rsid w:val="00BC5177"/>
    <w:rsid w:val="00BC5649"/>
    <w:rsid w:val="00BC7376"/>
    <w:rsid w:val="00BC7D64"/>
    <w:rsid w:val="00BC7D8A"/>
    <w:rsid w:val="00BD02DE"/>
    <w:rsid w:val="00BD036B"/>
    <w:rsid w:val="00BD084A"/>
    <w:rsid w:val="00BD0DF1"/>
    <w:rsid w:val="00BD1B03"/>
    <w:rsid w:val="00BD1B10"/>
    <w:rsid w:val="00BD1B7B"/>
    <w:rsid w:val="00BD234F"/>
    <w:rsid w:val="00BD23DC"/>
    <w:rsid w:val="00BD2411"/>
    <w:rsid w:val="00BD2945"/>
    <w:rsid w:val="00BD2DF5"/>
    <w:rsid w:val="00BD4A90"/>
    <w:rsid w:val="00BD4E53"/>
    <w:rsid w:val="00BD536B"/>
    <w:rsid w:val="00BD573E"/>
    <w:rsid w:val="00BD577F"/>
    <w:rsid w:val="00BD5CC8"/>
    <w:rsid w:val="00BD64F5"/>
    <w:rsid w:val="00BD69E7"/>
    <w:rsid w:val="00BD6A69"/>
    <w:rsid w:val="00BD6C1F"/>
    <w:rsid w:val="00BD6E1A"/>
    <w:rsid w:val="00BD72A1"/>
    <w:rsid w:val="00BD7722"/>
    <w:rsid w:val="00BD78B5"/>
    <w:rsid w:val="00BE023F"/>
    <w:rsid w:val="00BE03BA"/>
    <w:rsid w:val="00BE1D7E"/>
    <w:rsid w:val="00BE1FA4"/>
    <w:rsid w:val="00BE2865"/>
    <w:rsid w:val="00BE2A8E"/>
    <w:rsid w:val="00BE32D3"/>
    <w:rsid w:val="00BE4672"/>
    <w:rsid w:val="00BE473F"/>
    <w:rsid w:val="00BE6074"/>
    <w:rsid w:val="00BE6DD9"/>
    <w:rsid w:val="00BF09E5"/>
    <w:rsid w:val="00BF107E"/>
    <w:rsid w:val="00BF1B05"/>
    <w:rsid w:val="00BF1F86"/>
    <w:rsid w:val="00BF27FB"/>
    <w:rsid w:val="00BF29C1"/>
    <w:rsid w:val="00BF3EB5"/>
    <w:rsid w:val="00BF422E"/>
    <w:rsid w:val="00BF4A18"/>
    <w:rsid w:val="00BF61E8"/>
    <w:rsid w:val="00BF6608"/>
    <w:rsid w:val="00BF677A"/>
    <w:rsid w:val="00BF68B2"/>
    <w:rsid w:val="00C02370"/>
    <w:rsid w:val="00C02CE5"/>
    <w:rsid w:val="00C03357"/>
    <w:rsid w:val="00C03708"/>
    <w:rsid w:val="00C039F6"/>
    <w:rsid w:val="00C03E2E"/>
    <w:rsid w:val="00C04AC4"/>
    <w:rsid w:val="00C05008"/>
    <w:rsid w:val="00C05668"/>
    <w:rsid w:val="00C064B9"/>
    <w:rsid w:val="00C06801"/>
    <w:rsid w:val="00C0697F"/>
    <w:rsid w:val="00C06CC9"/>
    <w:rsid w:val="00C0700E"/>
    <w:rsid w:val="00C0714E"/>
    <w:rsid w:val="00C109B3"/>
    <w:rsid w:val="00C11805"/>
    <w:rsid w:val="00C123D9"/>
    <w:rsid w:val="00C12C2D"/>
    <w:rsid w:val="00C132B5"/>
    <w:rsid w:val="00C13CCD"/>
    <w:rsid w:val="00C143CE"/>
    <w:rsid w:val="00C1445F"/>
    <w:rsid w:val="00C14749"/>
    <w:rsid w:val="00C15D00"/>
    <w:rsid w:val="00C15D88"/>
    <w:rsid w:val="00C15FA7"/>
    <w:rsid w:val="00C16337"/>
    <w:rsid w:val="00C16FD0"/>
    <w:rsid w:val="00C178CC"/>
    <w:rsid w:val="00C17F4A"/>
    <w:rsid w:val="00C20016"/>
    <w:rsid w:val="00C20776"/>
    <w:rsid w:val="00C20F9D"/>
    <w:rsid w:val="00C21187"/>
    <w:rsid w:val="00C2137E"/>
    <w:rsid w:val="00C2277D"/>
    <w:rsid w:val="00C22D49"/>
    <w:rsid w:val="00C236E3"/>
    <w:rsid w:val="00C23A79"/>
    <w:rsid w:val="00C23F37"/>
    <w:rsid w:val="00C23FD0"/>
    <w:rsid w:val="00C245CB"/>
    <w:rsid w:val="00C25FCF"/>
    <w:rsid w:val="00C26561"/>
    <w:rsid w:val="00C26602"/>
    <w:rsid w:val="00C2667A"/>
    <w:rsid w:val="00C26BEE"/>
    <w:rsid w:val="00C27BEE"/>
    <w:rsid w:val="00C27E08"/>
    <w:rsid w:val="00C27F29"/>
    <w:rsid w:val="00C302F6"/>
    <w:rsid w:val="00C3125C"/>
    <w:rsid w:val="00C3157F"/>
    <w:rsid w:val="00C324F2"/>
    <w:rsid w:val="00C33649"/>
    <w:rsid w:val="00C340A3"/>
    <w:rsid w:val="00C341BD"/>
    <w:rsid w:val="00C34B6E"/>
    <w:rsid w:val="00C35746"/>
    <w:rsid w:val="00C36140"/>
    <w:rsid w:val="00C36190"/>
    <w:rsid w:val="00C36294"/>
    <w:rsid w:val="00C363B9"/>
    <w:rsid w:val="00C366CC"/>
    <w:rsid w:val="00C36A2F"/>
    <w:rsid w:val="00C37B64"/>
    <w:rsid w:val="00C4031D"/>
    <w:rsid w:val="00C40D5E"/>
    <w:rsid w:val="00C40DFD"/>
    <w:rsid w:val="00C4181C"/>
    <w:rsid w:val="00C41CD0"/>
    <w:rsid w:val="00C41E5B"/>
    <w:rsid w:val="00C423CF"/>
    <w:rsid w:val="00C42E30"/>
    <w:rsid w:val="00C42F7C"/>
    <w:rsid w:val="00C431E8"/>
    <w:rsid w:val="00C43700"/>
    <w:rsid w:val="00C45318"/>
    <w:rsid w:val="00C4568C"/>
    <w:rsid w:val="00C465C5"/>
    <w:rsid w:val="00C46B72"/>
    <w:rsid w:val="00C478C7"/>
    <w:rsid w:val="00C50EC0"/>
    <w:rsid w:val="00C5188C"/>
    <w:rsid w:val="00C51A84"/>
    <w:rsid w:val="00C51DF2"/>
    <w:rsid w:val="00C520A5"/>
    <w:rsid w:val="00C522A3"/>
    <w:rsid w:val="00C52894"/>
    <w:rsid w:val="00C53A5D"/>
    <w:rsid w:val="00C54084"/>
    <w:rsid w:val="00C543D3"/>
    <w:rsid w:val="00C54530"/>
    <w:rsid w:val="00C54908"/>
    <w:rsid w:val="00C54A80"/>
    <w:rsid w:val="00C557B6"/>
    <w:rsid w:val="00C55BFE"/>
    <w:rsid w:val="00C568C1"/>
    <w:rsid w:val="00C56B4A"/>
    <w:rsid w:val="00C572E7"/>
    <w:rsid w:val="00C57554"/>
    <w:rsid w:val="00C57782"/>
    <w:rsid w:val="00C5792D"/>
    <w:rsid w:val="00C57961"/>
    <w:rsid w:val="00C57DE2"/>
    <w:rsid w:val="00C57E39"/>
    <w:rsid w:val="00C60082"/>
    <w:rsid w:val="00C60B07"/>
    <w:rsid w:val="00C6123B"/>
    <w:rsid w:val="00C61A0B"/>
    <w:rsid w:val="00C63370"/>
    <w:rsid w:val="00C636D7"/>
    <w:rsid w:val="00C63A31"/>
    <w:rsid w:val="00C63B42"/>
    <w:rsid w:val="00C640C1"/>
    <w:rsid w:val="00C6525D"/>
    <w:rsid w:val="00C66157"/>
    <w:rsid w:val="00C666D4"/>
    <w:rsid w:val="00C66EA3"/>
    <w:rsid w:val="00C66F73"/>
    <w:rsid w:val="00C66FDC"/>
    <w:rsid w:val="00C67260"/>
    <w:rsid w:val="00C70768"/>
    <w:rsid w:val="00C712B7"/>
    <w:rsid w:val="00C712BF"/>
    <w:rsid w:val="00C71AC6"/>
    <w:rsid w:val="00C722E3"/>
    <w:rsid w:val="00C731D3"/>
    <w:rsid w:val="00C73369"/>
    <w:rsid w:val="00C7377B"/>
    <w:rsid w:val="00C738E3"/>
    <w:rsid w:val="00C73FF5"/>
    <w:rsid w:val="00C74021"/>
    <w:rsid w:val="00C740F4"/>
    <w:rsid w:val="00C745B3"/>
    <w:rsid w:val="00C749DA"/>
    <w:rsid w:val="00C74A9E"/>
    <w:rsid w:val="00C74BFB"/>
    <w:rsid w:val="00C758B5"/>
    <w:rsid w:val="00C75E33"/>
    <w:rsid w:val="00C762A8"/>
    <w:rsid w:val="00C76474"/>
    <w:rsid w:val="00C76B57"/>
    <w:rsid w:val="00C77193"/>
    <w:rsid w:val="00C80090"/>
    <w:rsid w:val="00C8023D"/>
    <w:rsid w:val="00C8050F"/>
    <w:rsid w:val="00C80CCB"/>
    <w:rsid w:val="00C80FF1"/>
    <w:rsid w:val="00C81588"/>
    <w:rsid w:val="00C81730"/>
    <w:rsid w:val="00C8196F"/>
    <w:rsid w:val="00C8272A"/>
    <w:rsid w:val="00C82A14"/>
    <w:rsid w:val="00C82B7B"/>
    <w:rsid w:val="00C82F68"/>
    <w:rsid w:val="00C834A6"/>
    <w:rsid w:val="00C84C3B"/>
    <w:rsid w:val="00C8549F"/>
    <w:rsid w:val="00C8598A"/>
    <w:rsid w:val="00C86502"/>
    <w:rsid w:val="00C866EF"/>
    <w:rsid w:val="00C869DA"/>
    <w:rsid w:val="00C8763B"/>
    <w:rsid w:val="00C8766C"/>
    <w:rsid w:val="00C87BE3"/>
    <w:rsid w:val="00C90AA2"/>
    <w:rsid w:val="00C9116C"/>
    <w:rsid w:val="00C920B6"/>
    <w:rsid w:val="00C92C9C"/>
    <w:rsid w:val="00C93A3E"/>
    <w:rsid w:val="00C940B4"/>
    <w:rsid w:val="00C94623"/>
    <w:rsid w:val="00C94D10"/>
    <w:rsid w:val="00C95CDD"/>
    <w:rsid w:val="00C961EF"/>
    <w:rsid w:val="00C96E39"/>
    <w:rsid w:val="00C97728"/>
    <w:rsid w:val="00C97E2B"/>
    <w:rsid w:val="00CA07A9"/>
    <w:rsid w:val="00CA0F92"/>
    <w:rsid w:val="00CA0FD6"/>
    <w:rsid w:val="00CA133F"/>
    <w:rsid w:val="00CA1472"/>
    <w:rsid w:val="00CA1FE1"/>
    <w:rsid w:val="00CA21E0"/>
    <w:rsid w:val="00CA21E4"/>
    <w:rsid w:val="00CA27A4"/>
    <w:rsid w:val="00CA2838"/>
    <w:rsid w:val="00CA3994"/>
    <w:rsid w:val="00CA45F1"/>
    <w:rsid w:val="00CA47E7"/>
    <w:rsid w:val="00CA530A"/>
    <w:rsid w:val="00CA5B50"/>
    <w:rsid w:val="00CA623F"/>
    <w:rsid w:val="00CA6FD6"/>
    <w:rsid w:val="00CA716C"/>
    <w:rsid w:val="00CA789A"/>
    <w:rsid w:val="00CA7A4C"/>
    <w:rsid w:val="00CB057E"/>
    <w:rsid w:val="00CB05EF"/>
    <w:rsid w:val="00CB08DA"/>
    <w:rsid w:val="00CB0EC7"/>
    <w:rsid w:val="00CB1995"/>
    <w:rsid w:val="00CB1CFC"/>
    <w:rsid w:val="00CB1D38"/>
    <w:rsid w:val="00CB21E0"/>
    <w:rsid w:val="00CB3B2F"/>
    <w:rsid w:val="00CB3B6D"/>
    <w:rsid w:val="00CB3FEA"/>
    <w:rsid w:val="00CB4547"/>
    <w:rsid w:val="00CB45F1"/>
    <w:rsid w:val="00CB4BE0"/>
    <w:rsid w:val="00CB59E1"/>
    <w:rsid w:val="00CB5FEA"/>
    <w:rsid w:val="00CB63BD"/>
    <w:rsid w:val="00CB7138"/>
    <w:rsid w:val="00CB7561"/>
    <w:rsid w:val="00CB7AC8"/>
    <w:rsid w:val="00CB7FE5"/>
    <w:rsid w:val="00CC016A"/>
    <w:rsid w:val="00CC0BCC"/>
    <w:rsid w:val="00CC0C1D"/>
    <w:rsid w:val="00CC2106"/>
    <w:rsid w:val="00CC275D"/>
    <w:rsid w:val="00CC2D56"/>
    <w:rsid w:val="00CC2F29"/>
    <w:rsid w:val="00CC3841"/>
    <w:rsid w:val="00CC3EAE"/>
    <w:rsid w:val="00CC511A"/>
    <w:rsid w:val="00CC58CA"/>
    <w:rsid w:val="00CC5F7F"/>
    <w:rsid w:val="00CC5FB4"/>
    <w:rsid w:val="00CC606A"/>
    <w:rsid w:val="00CC6136"/>
    <w:rsid w:val="00CC72C6"/>
    <w:rsid w:val="00CC73BF"/>
    <w:rsid w:val="00CC76CE"/>
    <w:rsid w:val="00CC7EBC"/>
    <w:rsid w:val="00CD16F5"/>
    <w:rsid w:val="00CD1E2C"/>
    <w:rsid w:val="00CD1E5C"/>
    <w:rsid w:val="00CD2D2D"/>
    <w:rsid w:val="00CD300C"/>
    <w:rsid w:val="00CD3A7B"/>
    <w:rsid w:val="00CD4BF4"/>
    <w:rsid w:val="00CD4DFE"/>
    <w:rsid w:val="00CD4ECA"/>
    <w:rsid w:val="00CD5DA8"/>
    <w:rsid w:val="00CD5F90"/>
    <w:rsid w:val="00CD61AC"/>
    <w:rsid w:val="00CD690E"/>
    <w:rsid w:val="00CD69F2"/>
    <w:rsid w:val="00CD6CCF"/>
    <w:rsid w:val="00CD7F24"/>
    <w:rsid w:val="00CE0078"/>
    <w:rsid w:val="00CE0EE6"/>
    <w:rsid w:val="00CE143A"/>
    <w:rsid w:val="00CE33F7"/>
    <w:rsid w:val="00CE39FA"/>
    <w:rsid w:val="00CE3E93"/>
    <w:rsid w:val="00CE406D"/>
    <w:rsid w:val="00CE4CD3"/>
    <w:rsid w:val="00CE5DF7"/>
    <w:rsid w:val="00CE6551"/>
    <w:rsid w:val="00CE7957"/>
    <w:rsid w:val="00CF0389"/>
    <w:rsid w:val="00CF153D"/>
    <w:rsid w:val="00CF3444"/>
    <w:rsid w:val="00CF3F79"/>
    <w:rsid w:val="00CF44F9"/>
    <w:rsid w:val="00CF4A1D"/>
    <w:rsid w:val="00CF4B7C"/>
    <w:rsid w:val="00CF4BA1"/>
    <w:rsid w:val="00CF5139"/>
    <w:rsid w:val="00CF544C"/>
    <w:rsid w:val="00CF5B7B"/>
    <w:rsid w:val="00CF6181"/>
    <w:rsid w:val="00CF63FF"/>
    <w:rsid w:val="00CF649E"/>
    <w:rsid w:val="00CF6D88"/>
    <w:rsid w:val="00CF6ED7"/>
    <w:rsid w:val="00CF7874"/>
    <w:rsid w:val="00CF7A93"/>
    <w:rsid w:val="00D00763"/>
    <w:rsid w:val="00D01C17"/>
    <w:rsid w:val="00D01C2B"/>
    <w:rsid w:val="00D02858"/>
    <w:rsid w:val="00D03B7C"/>
    <w:rsid w:val="00D042AD"/>
    <w:rsid w:val="00D04600"/>
    <w:rsid w:val="00D0533C"/>
    <w:rsid w:val="00D054B5"/>
    <w:rsid w:val="00D05A04"/>
    <w:rsid w:val="00D0665F"/>
    <w:rsid w:val="00D06826"/>
    <w:rsid w:val="00D068E9"/>
    <w:rsid w:val="00D06C7A"/>
    <w:rsid w:val="00D06F7F"/>
    <w:rsid w:val="00D07649"/>
    <w:rsid w:val="00D0782C"/>
    <w:rsid w:val="00D07CD2"/>
    <w:rsid w:val="00D1013E"/>
    <w:rsid w:val="00D108FE"/>
    <w:rsid w:val="00D11217"/>
    <w:rsid w:val="00D11C16"/>
    <w:rsid w:val="00D120E1"/>
    <w:rsid w:val="00D1270F"/>
    <w:rsid w:val="00D12B93"/>
    <w:rsid w:val="00D13738"/>
    <w:rsid w:val="00D13970"/>
    <w:rsid w:val="00D14B5B"/>
    <w:rsid w:val="00D14EA3"/>
    <w:rsid w:val="00D14F2B"/>
    <w:rsid w:val="00D156EF"/>
    <w:rsid w:val="00D15CB9"/>
    <w:rsid w:val="00D15FCD"/>
    <w:rsid w:val="00D17BA9"/>
    <w:rsid w:val="00D20138"/>
    <w:rsid w:val="00D20665"/>
    <w:rsid w:val="00D2117E"/>
    <w:rsid w:val="00D21ACF"/>
    <w:rsid w:val="00D21DA5"/>
    <w:rsid w:val="00D225E1"/>
    <w:rsid w:val="00D234E7"/>
    <w:rsid w:val="00D23AA7"/>
    <w:rsid w:val="00D24D25"/>
    <w:rsid w:val="00D2556E"/>
    <w:rsid w:val="00D26101"/>
    <w:rsid w:val="00D26892"/>
    <w:rsid w:val="00D26C09"/>
    <w:rsid w:val="00D26CEA"/>
    <w:rsid w:val="00D27DD0"/>
    <w:rsid w:val="00D3121B"/>
    <w:rsid w:val="00D3137F"/>
    <w:rsid w:val="00D3142C"/>
    <w:rsid w:val="00D31CEB"/>
    <w:rsid w:val="00D32468"/>
    <w:rsid w:val="00D32E72"/>
    <w:rsid w:val="00D32EF4"/>
    <w:rsid w:val="00D3348B"/>
    <w:rsid w:val="00D33631"/>
    <w:rsid w:val="00D33DBC"/>
    <w:rsid w:val="00D34776"/>
    <w:rsid w:val="00D34ABC"/>
    <w:rsid w:val="00D34E6A"/>
    <w:rsid w:val="00D3535F"/>
    <w:rsid w:val="00D35D66"/>
    <w:rsid w:val="00D366F9"/>
    <w:rsid w:val="00D36C35"/>
    <w:rsid w:val="00D37D40"/>
    <w:rsid w:val="00D400A5"/>
    <w:rsid w:val="00D40293"/>
    <w:rsid w:val="00D40754"/>
    <w:rsid w:val="00D40817"/>
    <w:rsid w:val="00D41076"/>
    <w:rsid w:val="00D411CE"/>
    <w:rsid w:val="00D412EB"/>
    <w:rsid w:val="00D41D1F"/>
    <w:rsid w:val="00D420DC"/>
    <w:rsid w:val="00D437B7"/>
    <w:rsid w:val="00D444DD"/>
    <w:rsid w:val="00D44D94"/>
    <w:rsid w:val="00D45090"/>
    <w:rsid w:val="00D4585A"/>
    <w:rsid w:val="00D46860"/>
    <w:rsid w:val="00D50355"/>
    <w:rsid w:val="00D50EEE"/>
    <w:rsid w:val="00D514C0"/>
    <w:rsid w:val="00D5247A"/>
    <w:rsid w:val="00D552D1"/>
    <w:rsid w:val="00D55B74"/>
    <w:rsid w:val="00D55F3D"/>
    <w:rsid w:val="00D5665E"/>
    <w:rsid w:val="00D568D7"/>
    <w:rsid w:val="00D56A5A"/>
    <w:rsid w:val="00D56CDC"/>
    <w:rsid w:val="00D57C9D"/>
    <w:rsid w:val="00D6001D"/>
    <w:rsid w:val="00D60065"/>
    <w:rsid w:val="00D610A6"/>
    <w:rsid w:val="00D61507"/>
    <w:rsid w:val="00D617B5"/>
    <w:rsid w:val="00D61F05"/>
    <w:rsid w:val="00D62DE2"/>
    <w:rsid w:val="00D636DB"/>
    <w:rsid w:val="00D64F18"/>
    <w:rsid w:val="00D658E7"/>
    <w:rsid w:val="00D6621C"/>
    <w:rsid w:val="00D662F5"/>
    <w:rsid w:val="00D66A73"/>
    <w:rsid w:val="00D67148"/>
    <w:rsid w:val="00D67BA0"/>
    <w:rsid w:val="00D705CA"/>
    <w:rsid w:val="00D70905"/>
    <w:rsid w:val="00D70B03"/>
    <w:rsid w:val="00D70B08"/>
    <w:rsid w:val="00D70CBB"/>
    <w:rsid w:val="00D72FEF"/>
    <w:rsid w:val="00D73747"/>
    <w:rsid w:val="00D737F2"/>
    <w:rsid w:val="00D74B3E"/>
    <w:rsid w:val="00D757F2"/>
    <w:rsid w:val="00D769DF"/>
    <w:rsid w:val="00D77795"/>
    <w:rsid w:val="00D7784E"/>
    <w:rsid w:val="00D77DB5"/>
    <w:rsid w:val="00D80663"/>
    <w:rsid w:val="00D814C9"/>
    <w:rsid w:val="00D81ED0"/>
    <w:rsid w:val="00D82F23"/>
    <w:rsid w:val="00D842D3"/>
    <w:rsid w:val="00D84A14"/>
    <w:rsid w:val="00D84A3F"/>
    <w:rsid w:val="00D84C68"/>
    <w:rsid w:val="00D84C83"/>
    <w:rsid w:val="00D86270"/>
    <w:rsid w:val="00D87737"/>
    <w:rsid w:val="00D8798A"/>
    <w:rsid w:val="00D87ABE"/>
    <w:rsid w:val="00D909E7"/>
    <w:rsid w:val="00D93685"/>
    <w:rsid w:val="00D93FFE"/>
    <w:rsid w:val="00D9537A"/>
    <w:rsid w:val="00D95BC2"/>
    <w:rsid w:val="00D96EAF"/>
    <w:rsid w:val="00D97661"/>
    <w:rsid w:val="00DA167F"/>
    <w:rsid w:val="00DA1B07"/>
    <w:rsid w:val="00DA1BE8"/>
    <w:rsid w:val="00DA1EEC"/>
    <w:rsid w:val="00DA22BE"/>
    <w:rsid w:val="00DA4A04"/>
    <w:rsid w:val="00DA63B9"/>
    <w:rsid w:val="00DA6DF2"/>
    <w:rsid w:val="00DA6DFE"/>
    <w:rsid w:val="00DA7A18"/>
    <w:rsid w:val="00DB0192"/>
    <w:rsid w:val="00DB083D"/>
    <w:rsid w:val="00DB1202"/>
    <w:rsid w:val="00DB17B3"/>
    <w:rsid w:val="00DB3519"/>
    <w:rsid w:val="00DB36C3"/>
    <w:rsid w:val="00DB3CE1"/>
    <w:rsid w:val="00DB4545"/>
    <w:rsid w:val="00DB4E9A"/>
    <w:rsid w:val="00DB52DA"/>
    <w:rsid w:val="00DB60A0"/>
    <w:rsid w:val="00DB6771"/>
    <w:rsid w:val="00DB6892"/>
    <w:rsid w:val="00DB6E26"/>
    <w:rsid w:val="00DB6FCA"/>
    <w:rsid w:val="00DC028E"/>
    <w:rsid w:val="00DC040F"/>
    <w:rsid w:val="00DC0F2A"/>
    <w:rsid w:val="00DC1DB3"/>
    <w:rsid w:val="00DC23EA"/>
    <w:rsid w:val="00DC3606"/>
    <w:rsid w:val="00DC3B71"/>
    <w:rsid w:val="00DC3E72"/>
    <w:rsid w:val="00DC4D8D"/>
    <w:rsid w:val="00DC5910"/>
    <w:rsid w:val="00DC60A8"/>
    <w:rsid w:val="00DC69DF"/>
    <w:rsid w:val="00DC701C"/>
    <w:rsid w:val="00DC7609"/>
    <w:rsid w:val="00DC7F38"/>
    <w:rsid w:val="00DD041A"/>
    <w:rsid w:val="00DD08E3"/>
    <w:rsid w:val="00DD11F7"/>
    <w:rsid w:val="00DD1B6A"/>
    <w:rsid w:val="00DD2EB1"/>
    <w:rsid w:val="00DD2F65"/>
    <w:rsid w:val="00DD3358"/>
    <w:rsid w:val="00DD362A"/>
    <w:rsid w:val="00DD3AE2"/>
    <w:rsid w:val="00DD4489"/>
    <w:rsid w:val="00DD5017"/>
    <w:rsid w:val="00DD527E"/>
    <w:rsid w:val="00DD5397"/>
    <w:rsid w:val="00DD5D79"/>
    <w:rsid w:val="00DD5FBD"/>
    <w:rsid w:val="00DD6ACD"/>
    <w:rsid w:val="00DD6C06"/>
    <w:rsid w:val="00DE023E"/>
    <w:rsid w:val="00DE099A"/>
    <w:rsid w:val="00DE0AB8"/>
    <w:rsid w:val="00DE0ACD"/>
    <w:rsid w:val="00DE0C76"/>
    <w:rsid w:val="00DE1C62"/>
    <w:rsid w:val="00DE2AE3"/>
    <w:rsid w:val="00DE2E41"/>
    <w:rsid w:val="00DE3A76"/>
    <w:rsid w:val="00DE3C2C"/>
    <w:rsid w:val="00DE3CBC"/>
    <w:rsid w:val="00DE4EDC"/>
    <w:rsid w:val="00DE5120"/>
    <w:rsid w:val="00DE74C0"/>
    <w:rsid w:val="00DF0327"/>
    <w:rsid w:val="00DF09DE"/>
    <w:rsid w:val="00DF2117"/>
    <w:rsid w:val="00DF27DF"/>
    <w:rsid w:val="00DF34D5"/>
    <w:rsid w:val="00DF4EA9"/>
    <w:rsid w:val="00DF5003"/>
    <w:rsid w:val="00DF6083"/>
    <w:rsid w:val="00DF61D5"/>
    <w:rsid w:val="00DF74C9"/>
    <w:rsid w:val="00DF773A"/>
    <w:rsid w:val="00DF7B66"/>
    <w:rsid w:val="00E001D7"/>
    <w:rsid w:val="00E009F6"/>
    <w:rsid w:val="00E00E3D"/>
    <w:rsid w:val="00E01FBE"/>
    <w:rsid w:val="00E022A3"/>
    <w:rsid w:val="00E0356B"/>
    <w:rsid w:val="00E03851"/>
    <w:rsid w:val="00E03B19"/>
    <w:rsid w:val="00E044BB"/>
    <w:rsid w:val="00E04521"/>
    <w:rsid w:val="00E046DB"/>
    <w:rsid w:val="00E04D89"/>
    <w:rsid w:val="00E05AA1"/>
    <w:rsid w:val="00E05FDD"/>
    <w:rsid w:val="00E0703C"/>
    <w:rsid w:val="00E07460"/>
    <w:rsid w:val="00E075A5"/>
    <w:rsid w:val="00E07A2B"/>
    <w:rsid w:val="00E119C8"/>
    <w:rsid w:val="00E11A6E"/>
    <w:rsid w:val="00E11C9A"/>
    <w:rsid w:val="00E125CB"/>
    <w:rsid w:val="00E12F92"/>
    <w:rsid w:val="00E13C17"/>
    <w:rsid w:val="00E13F16"/>
    <w:rsid w:val="00E14855"/>
    <w:rsid w:val="00E148C2"/>
    <w:rsid w:val="00E16825"/>
    <w:rsid w:val="00E1786A"/>
    <w:rsid w:val="00E17BE0"/>
    <w:rsid w:val="00E20C80"/>
    <w:rsid w:val="00E21256"/>
    <w:rsid w:val="00E23CCC"/>
    <w:rsid w:val="00E245F2"/>
    <w:rsid w:val="00E25231"/>
    <w:rsid w:val="00E256EF"/>
    <w:rsid w:val="00E25A1C"/>
    <w:rsid w:val="00E261DA"/>
    <w:rsid w:val="00E26AB3"/>
    <w:rsid w:val="00E26C0F"/>
    <w:rsid w:val="00E26F14"/>
    <w:rsid w:val="00E278D1"/>
    <w:rsid w:val="00E27D83"/>
    <w:rsid w:val="00E30844"/>
    <w:rsid w:val="00E30EB4"/>
    <w:rsid w:val="00E33812"/>
    <w:rsid w:val="00E33BD9"/>
    <w:rsid w:val="00E33C38"/>
    <w:rsid w:val="00E34555"/>
    <w:rsid w:val="00E34821"/>
    <w:rsid w:val="00E35326"/>
    <w:rsid w:val="00E3686D"/>
    <w:rsid w:val="00E36ED4"/>
    <w:rsid w:val="00E36EDB"/>
    <w:rsid w:val="00E376F0"/>
    <w:rsid w:val="00E419EE"/>
    <w:rsid w:val="00E42475"/>
    <w:rsid w:val="00E43BB0"/>
    <w:rsid w:val="00E44635"/>
    <w:rsid w:val="00E44777"/>
    <w:rsid w:val="00E456A8"/>
    <w:rsid w:val="00E45F13"/>
    <w:rsid w:val="00E4651F"/>
    <w:rsid w:val="00E50C50"/>
    <w:rsid w:val="00E51009"/>
    <w:rsid w:val="00E52202"/>
    <w:rsid w:val="00E52DAE"/>
    <w:rsid w:val="00E52F2A"/>
    <w:rsid w:val="00E547F3"/>
    <w:rsid w:val="00E54945"/>
    <w:rsid w:val="00E55DDC"/>
    <w:rsid w:val="00E5603F"/>
    <w:rsid w:val="00E56140"/>
    <w:rsid w:val="00E56191"/>
    <w:rsid w:val="00E56578"/>
    <w:rsid w:val="00E5686D"/>
    <w:rsid w:val="00E56BF5"/>
    <w:rsid w:val="00E56F40"/>
    <w:rsid w:val="00E57D44"/>
    <w:rsid w:val="00E57EA8"/>
    <w:rsid w:val="00E60E56"/>
    <w:rsid w:val="00E61064"/>
    <w:rsid w:val="00E61493"/>
    <w:rsid w:val="00E619DD"/>
    <w:rsid w:val="00E62165"/>
    <w:rsid w:val="00E6278C"/>
    <w:rsid w:val="00E62F46"/>
    <w:rsid w:val="00E639A5"/>
    <w:rsid w:val="00E64251"/>
    <w:rsid w:val="00E6435D"/>
    <w:rsid w:val="00E6465E"/>
    <w:rsid w:val="00E64AAA"/>
    <w:rsid w:val="00E65857"/>
    <w:rsid w:val="00E6638F"/>
    <w:rsid w:val="00E67819"/>
    <w:rsid w:val="00E705EE"/>
    <w:rsid w:val="00E70B22"/>
    <w:rsid w:val="00E70B54"/>
    <w:rsid w:val="00E71901"/>
    <w:rsid w:val="00E725A7"/>
    <w:rsid w:val="00E729AE"/>
    <w:rsid w:val="00E72BE2"/>
    <w:rsid w:val="00E73231"/>
    <w:rsid w:val="00E7369F"/>
    <w:rsid w:val="00E74BF4"/>
    <w:rsid w:val="00E74CED"/>
    <w:rsid w:val="00E74FAD"/>
    <w:rsid w:val="00E75FB8"/>
    <w:rsid w:val="00E76572"/>
    <w:rsid w:val="00E76684"/>
    <w:rsid w:val="00E7692D"/>
    <w:rsid w:val="00E77578"/>
    <w:rsid w:val="00E80689"/>
    <w:rsid w:val="00E80A3C"/>
    <w:rsid w:val="00E82987"/>
    <w:rsid w:val="00E83A41"/>
    <w:rsid w:val="00E83ED6"/>
    <w:rsid w:val="00E84270"/>
    <w:rsid w:val="00E84BD6"/>
    <w:rsid w:val="00E85EF7"/>
    <w:rsid w:val="00E861EC"/>
    <w:rsid w:val="00E86AE3"/>
    <w:rsid w:val="00E875BE"/>
    <w:rsid w:val="00E90088"/>
    <w:rsid w:val="00E90CCE"/>
    <w:rsid w:val="00E922A1"/>
    <w:rsid w:val="00E92C63"/>
    <w:rsid w:val="00E93BAD"/>
    <w:rsid w:val="00E94157"/>
    <w:rsid w:val="00E94B63"/>
    <w:rsid w:val="00E965EB"/>
    <w:rsid w:val="00E966E2"/>
    <w:rsid w:val="00E970D5"/>
    <w:rsid w:val="00E97291"/>
    <w:rsid w:val="00EA00C7"/>
    <w:rsid w:val="00EA035E"/>
    <w:rsid w:val="00EA0B05"/>
    <w:rsid w:val="00EA0C0D"/>
    <w:rsid w:val="00EA1270"/>
    <w:rsid w:val="00EA12BC"/>
    <w:rsid w:val="00EA13CC"/>
    <w:rsid w:val="00EA187B"/>
    <w:rsid w:val="00EA18CC"/>
    <w:rsid w:val="00EA191C"/>
    <w:rsid w:val="00EA1B96"/>
    <w:rsid w:val="00EA34AB"/>
    <w:rsid w:val="00EA3EB0"/>
    <w:rsid w:val="00EA3F34"/>
    <w:rsid w:val="00EA46EB"/>
    <w:rsid w:val="00EA476A"/>
    <w:rsid w:val="00EA47EC"/>
    <w:rsid w:val="00EA493B"/>
    <w:rsid w:val="00EA4AF2"/>
    <w:rsid w:val="00EA4F29"/>
    <w:rsid w:val="00EA5B8C"/>
    <w:rsid w:val="00EA5D7F"/>
    <w:rsid w:val="00EA66AE"/>
    <w:rsid w:val="00EA6769"/>
    <w:rsid w:val="00EB0B70"/>
    <w:rsid w:val="00EB0E96"/>
    <w:rsid w:val="00EB0F57"/>
    <w:rsid w:val="00EB17F1"/>
    <w:rsid w:val="00EB1F03"/>
    <w:rsid w:val="00EB1F37"/>
    <w:rsid w:val="00EB2945"/>
    <w:rsid w:val="00EB318E"/>
    <w:rsid w:val="00EB46E1"/>
    <w:rsid w:val="00EB628E"/>
    <w:rsid w:val="00EB6681"/>
    <w:rsid w:val="00EB6D78"/>
    <w:rsid w:val="00EB6DCB"/>
    <w:rsid w:val="00EB730F"/>
    <w:rsid w:val="00EB76C8"/>
    <w:rsid w:val="00EB7856"/>
    <w:rsid w:val="00EB7DFD"/>
    <w:rsid w:val="00EB7ED6"/>
    <w:rsid w:val="00EC07DA"/>
    <w:rsid w:val="00EC0EF3"/>
    <w:rsid w:val="00EC2CC5"/>
    <w:rsid w:val="00EC2F2E"/>
    <w:rsid w:val="00EC33C2"/>
    <w:rsid w:val="00EC3849"/>
    <w:rsid w:val="00EC3F74"/>
    <w:rsid w:val="00EC3FFC"/>
    <w:rsid w:val="00EC467D"/>
    <w:rsid w:val="00EC6F67"/>
    <w:rsid w:val="00ED058B"/>
    <w:rsid w:val="00ED0654"/>
    <w:rsid w:val="00ED095E"/>
    <w:rsid w:val="00ED0D89"/>
    <w:rsid w:val="00ED10D7"/>
    <w:rsid w:val="00ED119C"/>
    <w:rsid w:val="00ED1259"/>
    <w:rsid w:val="00ED1640"/>
    <w:rsid w:val="00ED231D"/>
    <w:rsid w:val="00ED26DA"/>
    <w:rsid w:val="00ED41B5"/>
    <w:rsid w:val="00ED4CD1"/>
    <w:rsid w:val="00ED4EB6"/>
    <w:rsid w:val="00ED5743"/>
    <w:rsid w:val="00ED6DF2"/>
    <w:rsid w:val="00ED7902"/>
    <w:rsid w:val="00ED7D42"/>
    <w:rsid w:val="00ED7EA2"/>
    <w:rsid w:val="00ED7EC4"/>
    <w:rsid w:val="00EE0818"/>
    <w:rsid w:val="00EE0E31"/>
    <w:rsid w:val="00EE1BA0"/>
    <w:rsid w:val="00EE1CFC"/>
    <w:rsid w:val="00EE26DC"/>
    <w:rsid w:val="00EE27B9"/>
    <w:rsid w:val="00EE3451"/>
    <w:rsid w:val="00EE3AAD"/>
    <w:rsid w:val="00EE46D1"/>
    <w:rsid w:val="00EE4A11"/>
    <w:rsid w:val="00EE4DB2"/>
    <w:rsid w:val="00EE5B20"/>
    <w:rsid w:val="00EE6042"/>
    <w:rsid w:val="00EE6484"/>
    <w:rsid w:val="00EE6C3B"/>
    <w:rsid w:val="00EE7B0C"/>
    <w:rsid w:val="00EF11ED"/>
    <w:rsid w:val="00EF25B9"/>
    <w:rsid w:val="00EF2700"/>
    <w:rsid w:val="00EF29B8"/>
    <w:rsid w:val="00EF36FA"/>
    <w:rsid w:val="00EF425B"/>
    <w:rsid w:val="00EF4C36"/>
    <w:rsid w:val="00EF4CE7"/>
    <w:rsid w:val="00EF6147"/>
    <w:rsid w:val="00EF670D"/>
    <w:rsid w:val="00EF70BC"/>
    <w:rsid w:val="00F0093A"/>
    <w:rsid w:val="00F00DDB"/>
    <w:rsid w:val="00F00FB1"/>
    <w:rsid w:val="00F015FF"/>
    <w:rsid w:val="00F01D40"/>
    <w:rsid w:val="00F03088"/>
    <w:rsid w:val="00F033BF"/>
    <w:rsid w:val="00F05B20"/>
    <w:rsid w:val="00F05E05"/>
    <w:rsid w:val="00F07479"/>
    <w:rsid w:val="00F07FF6"/>
    <w:rsid w:val="00F10981"/>
    <w:rsid w:val="00F114A6"/>
    <w:rsid w:val="00F1199D"/>
    <w:rsid w:val="00F119DC"/>
    <w:rsid w:val="00F11EED"/>
    <w:rsid w:val="00F12083"/>
    <w:rsid w:val="00F13E61"/>
    <w:rsid w:val="00F15AA6"/>
    <w:rsid w:val="00F1629D"/>
    <w:rsid w:val="00F16805"/>
    <w:rsid w:val="00F20845"/>
    <w:rsid w:val="00F21A22"/>
    <w:rsid w:val="00F21D28"/>
    <w:rsid w:val="00F21EA1"/>
    <w:rsid w:val="00F235D7"/>
    <w:rsid w:val="00F23BCF"/>
    <w:rsid w:val="00F23F15"/>
    <w:rsid w:val="00F23FB6"/>
    <w:rsid w:val="00F248CA"/>
    <w:rsid w:val="00F265B5"/>
    <w:rsid w:val="00F278AF"/>
    <w:rsid w:val="00F27E61"/>
    <w:rsid w:val="00F3024C"/>
    <w:rsid w:val="00F316EB"/>
    <w:rsid w:val="00F31D53"/>
    <w:rsid w:val="00F31F78"/>
    <w:rsid w:val="00F32E73"/>
    <w:rsid w:val="00F330F2"/>
    <w:rsid w:val="00F33DE3"/>
    <w:rsid w:val="00F34397"/>
    <w:rsid w:val="00F34666"/>
    <w:rsid w:val="00F34831"/>
    <w:rsid w:val="00F359CC"/>
    <w:rsid w:val="00F35ACB"/>
    <w:rsid w:val="00F35EE3"/>
    <w:rsid w:val="00F35FAC"/>
    <w:rsid w:val="00F3604D"/>
    <w:rsid w:val="00F362E9"/>
    <w:rsid w:val="00F36332"/>
    <w:rsid w:val="00F364E9"/>
    <w:rsid w:val="00F367F1"/>
    <w:rsid w:val="00F3680C"/>
    <w:rsid w:val="00F36851"/>
    <w:rsid w:val="00F36E5F"/>
    <w:rsid w:val="00F37DD2"/>
    <w:rsid w:val="00F4009E"/>
    <w:rsid w:val="00F40123"/>
    <w:rsid w:val="00F413AB"/>
    <w:rsid w:val="00F41950"/>
    <w:rsid w:val="00F41C13"/>
    <w:rsid w:val="00F41D37"/>
    <w:rsid w:val="00F42B43"/>
    <w:rsid w:val="00F42E55"/>
    <w:rsid w:val="00F4413E"/>
    <w:rsid w:val="00F44372"/>
    <w:rsid w:val="00F450C6"/>
    <w:rsid w:val="00F454B3"/>
    <w:rsid w:val="00F46FC1"/>
    <w:rsid w:val="00F47661"/>
    <w:rsid w:val="00F4777D"/>
    <w:rsid w:val="00F47C43"/>
    <w:rsid w:val="00F510D3"/>
    <w:rsid w:val="00F51127"/>
    <w:rsid w:val="00F520AA"/>
    <w:rsid w:val="00F52A74"/>
    <w:rsid w:val="00F54B17"/>
    <w:rsid w:val="00F55F89"/>
    <w:rsid w:val="00F56359"/>
    <w:rsid w:val="00F5673B"/>
    <w:rsid w:val="00F56BF3"/>
    <w:rsid w:val="00F56BFC"/>
    <w:rsid w:val="00F56C10"/>
    <w:rsid w:val="00F56C90"/>
    <w:rsid w:val="00F56F42"/>
    <w:rsid w:val="00F5769E"/>
    <w:rsid w:val="00F57AF3"/>
    <w:rsid w:val="00F6047B"/>
    <w:rsid w:val="00F605C6"/>
    <w:rsid w:val="00F60BF5"/>
    <w:rsid w:val="00F61121"/>
    <w:rsid w:val="00F61C77"/>
    <w:rsid w:val="00F630DF"/>
    <w:rsid w:val="00F63453"/>
    <w:rsid w:val="00F63475"/>
    <w:rsid w:val="00F63954"/>
    <w:rsid w:val="00F63E58"/>
    <w:rsid w:val="00F64105"/>
    <w:rsid w:val="00F64CED"/>
    <w:rsid w:val="00F652FD"/>
    <w:rsid w:val="00F65ABA"/>
    <w:rsid w:val="00F661ED"/>
    <w:rsid w:val="00F66635"/>
    <w:rsid w:val="00F70B5F"/>
    <w:rsid w:val="00F71050"/>
    <w:rsid w:val="00F71A7C"/>
    <w:rsid w:val="00F71B58"/>
    <w:rsid w:val="00F71BB0"/>
    <w:rsid w:val="00F7313F"/>
    <w:rsid w:val="00F733A5"/>
    <w:rsid w:val="00F735EA"/>
    <w:rsid w:val="00F73EAF"/>
    <w:rsid w:val="00F74C6F"/>
    <w:rsid w:val="00F762B7"/>
    <w:rsid w:val="00F76A57"/>
    <w:rsid w:val="00F77600"/>
    <w:rsid w:val="00F7788A"/>
    <w:rsid w:val="00F77BE3"/>
    <w:rsid w:val="00F801E3"/>
    <w:rsid w:val="00F8035C"/>
    <w:rsid w:val="00F80387"/>
    <w:rsid w:val="00F8040D"/>
    <w:rsid w:val="00F80EC1"/>
    <w:rsid w:val="00F813FD"/>
    <w:rsid w:val="00F81788"/>
    <w:rsid w:val="00F817A1"/>
    <w:rsid w:val="00F821C0"/>
    <w:rsid w:val="00F828AF"/>
    <w:rsid w:val="00F82AFE"/>
    <w:rsid w:val="00F83437"/>
    <w:rsid w:val="00F83B0A"/>
    <w:rsid w:val="00F84575"/>
    <w:rsid w:val="00F8472B"/>
    <w:rsid w:val="00F84A5F"/>
    <w:rsid w:val="00F84C02"/>
    <w:rsid w:val="00F861ED"/>
    <w:rsid w:val="00F869A8"/>
    <w:rsid w:val="00F86B48"/>
    <w:rsid w:val="00F86D39"/>
    <w:rsid w:val="00F86E94"/>
    <w:rsid w:val="00F8789B"/>
    <w:rsid w:val="00F87D1F"/>
    <w:rsid w:val="00F9022D"/>
    <w:rsid w:val="00F9024B"/>
    <w:rsid w:val="00F904A2"/>
    <w:rsid w:val="00F90785"/>
    <w:rsid w:val="00F909D9"/>
    <w:rsid w:val="00F911CF"/>
    <w:rsid w:val="00F91904"/>
    <w:rsid w:val="00F91BED"/>
    <w:rsid w:val="00F936CE"/>
    <w:rsid w:val="00F93A4B"/>
    <w:rsid w:val="00F93DCB"/>
    <w:rsid w:val="00F9401E"/>
    <w:rsid w:val="00F949DE"/>
    <w:rsid w:val="00F94B58"/>
    <w:rsid w:val="00FA0F4A"/>
    <w:rsid w:val="00FA5194"/>
    <w:rsid w:val="00FA5356"/>
    <w:rsid w:val="00FA555E"/>
    <w:rsid w:val="00FA5B5E"/>
    <w:rsid w:val="00FA5BB6"/>
    <w:rsid w:val="00FA674B"/>
    <w:rsid w:val="00FA6B7B"/>
    <w:rsid w:val="00FA6D50"/>
    <w:rsid w:val="00FA6E93"/>
    <w:rsid w:val="00FA7389"/>
    <w:rsid w:val="00FA7FDF"/>
    <w:rsid w:val="00FB08FD"/>
    <w:rsid w:val="00FB0CEE"/>
    <w:rsid w:val="00FB0F3F"/>
    <w:rsid w:val="00FB0F49"/>
    <w:rsid w:val="00FB10D2"/>
    <w:rsid w:val="00FB3DE1"/>
    <w:rsid w:val="00FB4925"/>
    <w:rsid w:val="00FB52BA"/>
    <w:rsid w:val="00FB5493"/>
    <w:rsid w:val="00FB55BF"/>
    <w:rsid w:val="00FB628C"/>
    <w:rsid w:val="00FB702B"/>
    <w:rsid w:val="00FC06D1"/>
    <w:rsid w:val="00FC0704"/>
    <w:rsid w:val="00FC1C46"/>
    <w:rsid w:val="00FC2898"/>
    <w:rsid w:val="00FC2D12"/>
    <w:rsid w:val="00FC2D6B"/>
    <w:rsid w:val="00FC3250"/>
    <w:rsid w:val="00FC32E2"/>
    <w:rsid w:val="00FC3A71"/>
    <w:rsid w:val="00FC3E98"/>
    <w:rsid w:val="00FC4693"/>
    <w:rsid w:val="00FC46C4"/>
    <w:rsid w:val="00FC4D91"/>
    <w:rsid w:val="00FC5465"/>
    <w:rsid w:val="00FC7B48"/>
    <w:rsid w:val="00FD0A5E"/>
    <w:rsid w:val="00FD0A61"/>
    <w:rsid w:val="00FD0EEB"/>
    <w:rsid w:val="00FD1938"/>
    <w:rsid w:val="00FD29F8"/>
    <w:rsid w:val="00FD2F92"/>
    <w:rsid w:val="00FD3552"/>
    <w:rsid w:val="00FD39FA"/>
    <w:rsid w:val="00FD410E"/>
    <w:rsid w:val="00FD4855"/>
    <w:rsid w:val="00FD6199"/>
    <w:rsid w:val="00FD69D0"/>
    <w:rsid w:val="00FD69F9"/>
    <w:rsid w:val="00FD6B4F"/>
    <w:rsid w:val="00FD731D"/>
    <w:rsid w:val="00FD76CE"/>
    <w:rsid w:val="00FD7DCC"/>
    <w:rsid w:val="00FE227C"/>
    <w:rsid w:val="00FE2558"/>
    <w:rsid w:val="00FE280D"/>
    <w:rsid w:val="00FE327A"/>
    <w:rsid w:val="00FE380F"/>
    <w:rsid w:val="00FE3949"/>
    <w:rsid w:val="00FE5860"/>
    <w:rsid w:val="00FE5949"/>
    <w:rsid w:val="00FE6596"/>
    <w:rsid w:val="00FE694F"/>
    <w:rsid w:val="00FE7024"/>
    <w:rsid w:val="00FE7339"/>
    <w:rsid w:val="00FE7C79"/>
    <w:rsid w:val="00FE7CBC"/>
    <w:rsid w:val="00FF07B5"/>
    <w:rsid w:val="00FF0B21"/>
    <w:rsid w:val="00FF0B64"/>
    <w:rsid w:val="00FF38A4"/>
    <w:rsid w:val="00FF3D4B"/>
    <w:rsid w:val="00FF4058"/>
    <w:rsid w:val="00FF494B"/>
    <w:rsid w:val="00FF5038"/>
    <w:rsid w:val="00FF5344"/>
    <w:rsid w:val="00FF55CC"/>
    <w:rsid w:val="00FF6037"/>
    <w:rsid w:val="00FF69C7"/>
    <w:rsid w:val="00FF6C9C"/>
    <w:rsid w:val="00FF6D0A"/>
    <w:rsid w:val="00FF7D4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3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F3"/>
    <w:pPr>
      <w:widowControl w:val="0"/>
    </w:pPr>
    <w:rPr>
      <w:rFonts w:ascii="Times New Roman" w:hAnsi="Times New Roman"/>
      <w:sz w:val="24"/>
    </w:rPr>
  </w:style>
  <w:style w:type="paragraph" w:styleId="Heading1">
    <w:name w:val="heading 1"/>
    <w:basedOn w:val="Normal"/>
    <w:next w:val="Normal"/>
    <w:link w:val="Heading1Char"/>
    <w:uiPriority w:val="9"/>
    <w:qFormat/>
    <w:locked/>
    <w:rsid w:val="00453E90"/>
    <w:pPr>
      <w:keepNext/>
      <w:widowControl/>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3E90"/>
    <w:rPr>
      <w:rFonts w:ascii="Times New Roman" w:hAnsi="Times New Roman" w:cs="Times New Roman"/>
      <w:b/>
      <w:sz w:val="20"/>
      <w:szCs w:val="20"/>
    </w:rPr>
  </w:style>
  <w:style w:type="paragraph" w:styleId="NormalWeb">
    <w:name w:val="Normal (Web)"/>
    <w:basedOn w:val="Normal"/>
    <w:uiPriority w:val="99"/>
    <w:rsid w:val="001C4478"/>
    <w:pPr>
      <w:widowControl/>
      <w:spacing w:before="100" w:beforeAutospacing="1" w:after="100" w:afterAutospacing="1"/>
    </w:pPr>
    <w:rPr>
      <w:szCs w:val="24"/>
      <w:lang w:val="en-CA"/>
    </w:rPr>
  </w:style>
  <w:style w:type="paragraph" w:customStyle="1" w:styleId="Default">
    <w:name w:val="Default"/>
    <w:rsid w:val="001C4478"/>
    <w:pPr>
      <w:autoSpaceDE w:val="0"/>
      <w:autoSpaceDN w:val="0"/>
      <w:adjustRightInd w:val="0"/>
    </w:pPr>
    <w:rPr>
      <w:rFonts w:ascii="Arial" w:hAnsi="Arial" w:cs="Arial"/>
      <w:color w:val="000000"/>
      <w:sz w:val="24"/>
      <w:szCs w:val="24"/>
      <w:lang w:val="en-CA" w:eastAsia="en-CA"/>
    </w:rPr>
  </w:style>
  <w:style w:type="paragraph" w:styleId="BodyTextIndent2">
    <w:name w:val="Body Text Indent 2"/>
    <w:basedOn w:val="Normal"/>
    <w:link w:val="BodyTextIndent2Char"/>
    <w:uiPriority w:val="99"/>
    <w:rsid w:val="001C4478"/>
    <w:pPr>
      <w:tabs>
        <w:tab w:val="left" w:pos="720"/>
        <w:tab w:val="left" w:pos="990"/>
        <w:tab w:val="left" w:pos="1260"/>
        <w:tab w:val="left" w:pos="7459"/>
        <w:tab w:val="decimal" w:pos="8467"/>
        <w:tab w:val="left" w:pos="8726"/>
        <w:tab w:val="decimal" w:pos="9720"/>
      </w:tabs>
      <w:ind w:left="990" w:hanging="990"/>
      <w:jc w:val="both"/>
    </w:pPr>
    <w:rPr>
      <w:sz w:val="20"/>
      <w:lang w:val="en-GB"/>
    </w:rPr>
  </w:style>
  <w:style w:type="character" w:customStyle="1" w:styleId="BodyTextIndent2Char">
    <w:name w:val="Body Text Indent 2 Char"/>
    <w:link w:val="BodyTextIndent2"/>
    <w:uiPriority w:val="99"/>
    <w:locked/>
    <w:rsid w:val="001C4478"/>
    <w:rPr>
      <w:rFonts w:ascii="Times New Roman" w:hAnsi="Times New Roman" w:cs="Times New Roman"/>
      <w:sz w:val="20"/>
      <w:szCs w:val="20"/>
      <w:lang w:val="en-GB"/>
    </w:rPr>
  </w:style>
  <w:style w:type="paragraph" w:styleId="ListParagraph">
    <w:name w:val="List Paragraph"/>
    <w:basedOn w:val="Normal"/>
    <w:link w:val="ListParagraphChar"/>
    <w:uiPriority w:val="34"/>
    <w:qFormat/>
    <w:rsid w:val="001C4478"/>
    <w:pPr>
      <w:ind w:left="720"/>
    </w:pPr>
  </w:style>
  <w:style w:type="paragraph" w:customStyle="1" w:styleId="Ne2">
    <w:name w:val="Ne2"/>
    <w:basedOn w:val="Normal"/>
    <w:uiPriority w:val="99"/>
    <w:rsid w:val="001C4478"/>
    <w:pPr>
      <w:widowControl/>
      <w:overflowPunct w:val="0"/>
      <w:autoSpaceDE w:val="0"/>
      <w:autoSpaceDN w:val="0"/>
      <w:adjustRightInd w:val="0"/>
      <w:spacing w:before="120" w:line="280" w:lineRule="atLeast"/>
      <w:ind w:left="360"/>
      <w:jc w:val="both"/>
      <w:textAlignment w:val="baseline"/>
    </w:pPr>
    <w:rPr>
      <w:rFonts w:ascii="Helvetica" w:hAnsi="Helvetica"/>
      <w:sz w:val="20"/>
    </w:rPr>
  </w:style>
  <w:style w:type="paragraph" w:styleId="BodyText3">
    <w:name w:val="Body Text 3"/>
    <w:basedOn w:val="Normal"/>
    <w:link w:val="BodyText3Char"/>
    <w:uiPriority w:val="99"/>
    <w:rsid w:val="001C4478"/>
    <w:pPr>
      <w:spacing w:after="120"/>
    </w:pPr>
    <w:rPr>
      <w:sz w:val="16"/>
      <w:szCs w:val="16"/>
    </w:rPr>
  </w:style>
  <w:style w:type="character" w:customStyle="1" w:styleId="BodyText3Char">
    <w:name w:val="Body Text 3 Char"/>
    <w:link w:val="BodyText3"/>
    <w:uiPriority w:val="99"/>
    <w:locked/>
    <w:rsid w:val="001C4478"/>
    <w:rPr>
      <w:rFonts w:ascii="Times New Roman" w:hAnsi="Times New Roman" w:cs="Times New Roman"/>
      <w:sz w:val="16"/>
      <w:szCs w:val="16"/>
      <w:lang w:val="en-US"/>
    </w:rPr>
  </w:style>
  <w:style w:type="paragraph" w:customStyle="1" w:styleId="Ne1">
    <w:name w:val="Ne1"/>
    <w:basedOn w:val="Normal"/>
    <w:next w:val="Ne2"/>
    <w:uiPriority w:val="99"/>
    <w:rsid w:val="001C4478"/>
    <w:pPr>
      <w:widowControl/>
      <w:tabs>
        <w:tab w:val="left" w:pos="360"/>
      </w:tabs>
      <w:overflowPunct w:val="0"/>
      <w:autoSpaceDE w:val="0"/>
      <w:autoSpaceDN w:val="0"/>
      <w:adjustRightInd w:val="0"/>
      <w:spacing w:before="120" w:line="280" w:lineRule="atLeast"/>
      <w:textAlignment w:val="baseline"/>
    </w:pPr>
    <w:rPr>
      <w:rFonts w:ascii="Helvetica" w:hAnsi="Helvetica"/>
      <w:b/>
      <w:sz w:val="20"/>
    </w:rPr>
  </w:style>
  <w:style w:type="character" w:styleId="Hyperlink">
    <w:name w:val="Hyperlink"/>
    <w:uiPriority w:val="99"/>
    <w:rsid w:val="001C4478"/>
    <w:rPr>
      <w:rFonts w:cs="Times New Roman"/>
      <w:color w:val="0000FF"/>
      <w:u w:val="single"/>
    </w:rPr>
  </w:style>
  <w:style w:type="paragraph" w:styleId="BodyText">
    <w:name w:val="Body Text"/>
    <w:basedOn w:val="Normal"/>
    <w:link w:val="BodyTextChar"/>
    <w:uiPriority w:val="99"/>
    <w:semiHidden/>
    <w:rsid w:val="001C4478"/>
    <w:pPr>
      <w:spacing w:after="120"/>
    </w:pPr>
    <w:rPr>
      <w:sz w:val="20"/>
    </w:rPr>
  </w:style>
  <w:style w:type="character" w:customStyle="1" w:styleId="BodyTextChar">
    <w:name w:val="Body Text Char"/>
    <w:link w:val="BodyText"/>
    <w:uiPriority w:val="99"/>
    <w:semiHidden/>
    <w:locked/>
    <w:rsid w:val="001C4478"/>
    <w:rPr>
      <w:rFonts w:ascii="Times New Roman" w:hAnsi="Times New Roman" w:cs="Times New Roman"/>
      <w:sz w:val="20"/>
      <w:szCs w:val="20"/>
      <w:lang w:val="en-US"/>
    </w:rPr>
  </w:style>
  <w:style w:type="paragraph" w:customStyle="1" w:styleId="Normal2B">
    <w:name w:val="Normal 2B"/>
    <w:basedOn w:val="Normal"/>
    <w:uiPriority w:val="99"/>
    <w:rsid w:val="001C4478"/>
    <w:pPr>
      <w:jc w:val="both"/>
    </w:pPr>
    <w:rPr>
      <w:rFonts w:ascii="Arial" w:hAnsi="Arial"/>
      <w:b/>
      <w:caps/>
      <w:spacing w:val="-2"/>
      <w:sz w:val="22"/>
      <w:lang w:val="en-GB"/>
    </w:rPr>
  </w:style>
  <w:style w:type="paragraph" w:customStyle="1" w:styleId="textnotes">
    <w:name w:val="text notes"/>
    <w:aliases w:val="TN,tn"/>
    <w:basedOn w:val="Normal"/>
    <w:uiPriority w:val="99"/>
    <w:rsid w:val="001C4478"/>
    <w:pPr>
      <w:widowControl/>
      <w:tabs>
        <w:tab w:val="decimal" w:pos="6380"/>
        <w:tab w:val="decimal" w:pos="7920"/>
      </w:tabs>
      <w:jc w:val="both"/>
    </w:pPr>
    <w:rPr>
      <w:rFonts w:ascii="Times" w:hAnsi="Times"/>
      <w:sz w:val="20"/>
    </w:rPr>
  </w:style>
  <w:style w:type="paragraph" w:customStyle="1" w:styleId="HEADERNOTESWITHNUMBERS">
    <w:name w:val="HEADER/NOTES WITH NUMBERS"/>
    <w:basedOn w:val="Normal"/>
    <w:uiPriority w:val="99"/>
    <w:rsid w:val="001C4478"/>
    <w:pPr>
      <w:widowControl/>
      <w:numPr>
        <w:numId w:val="1"/>
      </w:numPr>
      <w:overflowPunct w:val="0"/>
      <w:autoSpaceDE w:val="0"/>
      <w:autoSpaceDN w:val="0"/>
      <w:adjustRightInd w:val="0"/>
      <w:textAlignment w:val="baseline"/>
    </w:pPr>
    <w:rPr>
      <w:b/>
      <w:lang w:val="en-CA"/>
    </w:rPr>
  </w:style>
  <w:style w:type="paragraph" w:styleId="Header">
    <w:name w:val="header"/>
    <w:basedOn w:val="Normal"/>
    <w:link w:val="HeaderChar"/>
    <w:uiPriority w:val="99"/>
    <w:rsid w:val="00B6553D"/>
    <w:pPr>
      <w:tabs>
        <w:tab w:val="center" w:pos="4680"/>
        <w:tab w:val="right" w:pos="9360"/>
      </w:tabs>
    </w:pPr>
    <w:rPr>
      <w:sz w:val="20"/>
    </w:rPr>
  </w:style>
  <w:style w:type="character" w:customStyle="1" w:styleId="HeaderChar">
    <w:name w:val="Header Char"/>
    <w:link w:val="Header"/>
    <w:uiPriority w:val="99"/>
    <w:locked/>
    <w:rsid w:val="00B6553D"/>
    <w:rPr>
      <w:rFonts w:ascii="Times New Roman" w:hAnsi="Times New Roman" w:cs="Times New Roman"/>
      <w:sz w:val="20"/>
      <w:szCs w:val="20"/>
      <w:lang w:val="en-US"/>
    </w:rPr>
  </w:style>
  <w:style w:type="paragraph" w:styleId="Footer">
    <w:name w:val="footer"/>
    <w:basedOn w:val="Normal"/>
    <w:link w:val="FooterChar"/>
    <w:uiPriority w:val="99"/>
    <w:rsid w:val="00B6553D"/>
    <w:pPr>
      <w:tabs>
        <w:tab w:val="center" w:pos="4680"/>
        <w:tab w:val="right" w:pos="9360"/>
      </w:tabs>
    </w:pPr>
    <w:rPr>
      <w:sz w:val="20"/>
    </w:rPr>
  </w:style>
  <w:style w:type="character" w:customStyle="1" w:styleId="FooterChar">
    <w:name w:val="Footer Char"/>
    <w:link w:val="Footer"/>
    <w:uiPriority w:val="99"/>
    <w:locked/>
    <w:rsid w:val="00B6553D"/>
    <w:rPr>
      <w:rFonts w:ascii="Times New Roman" w:hAnsi="Times New Roman" w:cs="Times New Roman"/>
      <w:sz w:val="20"/>
      <w:szCs w:val="20"/>
      <w:lang w:val="en-US"/>
    </w:rPr>
  </w:style>
  <w:style w:type="paragraph" w:styleId="BalloonText">
    <w:name w:val="Balloon Text"/>
    <w:basedOn w:val="Normal"/>
    <w:link w:val="BalloonTextChar"/>
    <w:uiPriority w:val="99"/>
    <w:semiHidden/>
    <w:rsid w:val="00B6553D"/>
    <w:rPr>
      <w:rFonts w:ascii="Tahoma" w:hAnsi="Tahoma"/>
      <w:sz w:val="16"/>
      <w:szCs w:val="16"/>
    </w:rPr>
  </w:style>
  <w:style w:type="character" w:customStyle="1" w:styleId="BalloonTextChar">
    <w:name w:val="Balloon Text Char"/>
    <w:link w:val="BalloonText"/>
    <w:uiPriority w:val="99"/>
    <w:semiHidden/>
    <w:locked/>
    <w:rsid w:val="00B6553D"/>
    <w:rPr>
      <w:rFonts w:ascii="Tahoma" w:hAnsi="Tahoma" w:cs="Tahoma"/>
      <w:sz w:val="16"/>
      <w:szCs w:val="16"/>
      <w:lang w:val="en-US"/>
    </w:rPr>
  </w:style>
  <w:style w:type="paragraph" w:styleId="ListBullet">
    <w:name w:val="List Bullet"/>
    <w:basedOn w:val="Normal"/>
    <w:autoRedefine/>
    <w:uiPriority w:val="99"/>
    <w:rsid w:val="006E4E04"/>
    <w:pPr>
      <w:widowControl/>
      <w:spacing w:line="228" w:lineRule="auto"/>
      <w:jc w:val="both"/>
    </w:pPr>
    <w:rPr>
      <w:lang w:val="en-CA"/>
    </w:rPr>
  </w:style>
  <w:style w:type="paragraph" w:customStyle="1" w:styleId="DRFinancialStatements">
    <w:name w:val="DR Financial Statements"/>
    <w:basedOn w:val="Normal"/>
    <w:rsid w:val="00A8198C"/>
    <w:pPr>
      <w:suppressAutoHyphens/>
      <w:overflowPunct w:val="0"/>
      <w:autoSpaceDE w:val="0"/>
      <w:autoSpaceDN w:val="0"/>
      <w:adjustRightInd w:val="0"/>
      <w:spacing w:line="100" w:lineRule="atLeast"/>
      <w:jc w:val="both"/>
      <w:textAlignment w:val="baseline"/>
    </w:pPr>
    <w:rPr>
      <w:rFonts w:ascii="Univers" w:hAnsi="Univers"/>
      <w:spacing w:val="-2"/>
      <w:sz w:val="20"/>
      <w:lang w:val="en-GB"/>
    </w:rPr>
  </w:style>
  <w:style w:type="paragraph" w:customStyle="1" w:styleId="Char1">
    <w:name w:val="Char1"/>
    <w:basedOn w:val="Normal"/>
    <w:rsid w:val="00A8198C"/>
    <w:pPr>
      <w:widowControl/>
      <w:spacing w:after="160" w:line="240" w:lineRule="exact"/>
    </w:pPr>
    <w:rPr>
      <w:sz w:val="20"/>
    </w:rPr>
  </w:style>
  <w:style w:type="paragraph" w:customStyle="1" w:styleId="Technical4">
    <w:name w:val="Technical 4"/>
    <w:rsid w:val="00A1345C"/>
    <w:pPr>
      <w:suppressAutoHyphens/>
      <w:overflowPunct w:val="0"/>
      <w:autoSpaceDE w:val="0"/>
      <w:autoSpaceDN w:val="0"/>
      <w:adjustRightInd w:val="0"/>
      <w:textAlignment w:val="baseline"/>
    </w:pPr>
    <w:rPr>
      <w:rFonts w:ascii="Courier New" w:hAnsi="Courier New"/>
      <w:b/>
    </w:rPr>
  </w:style>
  <w:style w:type="character" w:customStyle="1" w:styleId="WW8Num45z0">
    <w:name w:val="WW8Num45z0"/>
    <w:rsid w:val="00A1345C"/>
    <w:rPr>
      <w:rFonts w:ascii="Wingdings" w:hAnsi="Wingdings"/>
      <w:sz w:val="16"/>
    </w:rPr>
  </w:style>
  <w:style w:type="paragraph" w:customStyle="1" w:styleId="DRFS">
    <w:name w:val="DR_FS"/>
    <w:basedOn w:val="Normal"/>
    <w:rsid w:val="00A01502"/>
    <w:pPr>
      <w:widowControl/>
      <w:tabs>
        <w:tab w:val="left" w:pos="3161"/>
        <w:tab w:val="left" w:pos="4331"/>
        <w:tab w:val="decimal" w:pos="6480"/>
        <w:tab w:val="left" w:pos="7451"/>
      </w:tabs>
      <w:suppressAutoHyphens/>
      <w:overflowPunct w:val="0"/>
      <w:autoSpaceDE w:val="0"/>
      <w:autoSpaceDN w:val="0"/>
      <w:adjustRightInd w:val="0"/>
      <w:spacing w:line="252" w:lineRule="auto"/>
      <w:jc w:val="both"/>
      <w:textAlignment w:val="baseline"/>
    </w:pPr>
    <w:rPr>
      <w:rFonts w:ascii="Univers" w:hAnsi="Univers"/>
      <w:b/>
      <w:spacing w:val="-3"/>
      <w:sz w:val="30"/>
      <w:lang w:val="en-GB"/>
    </w:rPr>
  </w:style>
  <w:style w:type="paragraph" w:styleId="BodyTextIndent">
    <w:name w:val="Body Text Indent"/>
    <w:basedOn w:val="Normal"/>
    <w:link w:val="BodyTextIndentChar"/>
    <w:uiPriority w:val="99"/>
    <w:semiHidden/>
    <w:unhideWhenUsed/>
    <w:rsid w:val="00BE473F"/>
    <w:pPr>
      <w:spacing w:after="120"/>
      <w:ind w:left="283"/>
    </w:pPr>
  </w:style>
  <w:style w:type="character" w:customStyle="1" w:styleId="BodyTextIndentChar">
    <w:name w:val="Body Text Indent Char"/>
    <w:link w:val="BodyTextIndent"/>
    <w:uiPriority w:val="99"/>
    <w:semiHidden/>
    <w:rsid w:val="00BE473F"/>
    <w:rPr>
      <w:rFonts w:ascii="Times New Roman" w:hAnsi="Times New Roman"/>
      <w:sz w:val="24"/>
    </w:rPr>
  </w:style>
  <w:style w:type="paragraph" w:styleId="Revision">
    <w:name w:val="Revision"/>
    <w:hidden/>
    <w:uiPriority w:val="99"/>
    <w:semiHidden/>
    <w:rsid w:val="00A5767A"/>
    <w:rPr>
      <w:rFonts w:ascii="Times New Roman" w:hAnsi="Times New Roman"/>
      <w:sz w:val="24"/>
    </w:rPr>
  </w:style>
  <w:style w:type="paragraph" w:styleId="EndnoteText">
    <w:name w:val="endnote text"/>
    <w:basedOn w:val="Normal"/>
    <w:link w:val="EndnoteTextChar"/>
    <w:uiPriority w:val="99"/>
    <w:semiHidden/>
    <w:unhideWhenUsed/>
    <w:rsid w:val="00C749DA"/>
    <w:rPr>
      <w:sz w:val="20"/>
    </w:rPr>
  </w:style>
  <w:style w:type="character" w:customStyle="1" w:styleId="EndnoteTextChar">
    <w:name w:val="Endnote Text Char"/>
    <w:basedOn w:val="DefaultParagraphFont"/>
    <w:link w:val="EndnoteText"/>
    <w:uiPriority w:val="99"/>
    <w:semiHidden/>
    <w:rsid w:val="00C749DA"/>
    <w:rPr>
      <w:rFonts w:ascii="Times New Roman" w:hAnsi="Times New Roman"/>
    </w:rPr>
  </w:style>
  <w:style w:type="character" w:styleId="EndnoteReference">
    <w:name w:val="endnote reference"/>
    <w:basedOn w:val="DefaultParagraphFont"/>
    <w:uiPriority w:val="99"/>
    <w:semiHidden/>
    <w:unhideWhenUsed/>
    <w:rsid w:val="00C749DA"/>
    <w:rPr>
      <w:vertAlign w:val="superscript"/>
    </w:rPr>
  </w:style>
  <w:style w:type="character" w:styleId="CommentReference">
    <w:name w:val="annotation reference"/>
    <w:basedOn w:val="DefaultParagraphFont"/>
    <w:uiPriority w:val="99"/>
    <w:semiHidden/>
    <w:unhideWhenUsed/>
    <w:rsid w:val="001F6D79"/>
    <w:rPr>
      <w:sz w:val="16"/>
      <w:szCs w:val="16"/>
    </w:rPr>
  </w:style>
  <w:style w:type="paragraph" w:styleId="CommentText">
    <w:name w:val="annotation text"/>
    <w:basedOn w:val="Normal"/>
    <w:link w:val="CommentTextChar"/>
    <w:uiPriority w:val="99"/>
    <w:semiHidden/>
    <w:unhideWhenUsed/>
    <w:rsid w:val="001F6D79"/>
    <w:rPr>
      <w:sz w:val="20"/>
    </w:rPr>
  </w:style>
  <w:style w:type="character" w:customStyle="1" w:styleId="CommentTextChar">
    <w:name w:val="Comment Text Char"/>
    <w:basedOn w:val="DefaultParagraphFont"/>
    <w:link w:val="CommentText"/>
    <w:uiPriority w:val="99"/>
    <w:semiHidden/>
    <w:rsid w:val="001F6D7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F6D79"/>
    <w:rPr>
      <w:b/>
      <w:bCs/>
    </w:rPr>
  </w:style>
  <w:style w:type="character" w:customStyle="1" w:styleId="CommentSubjectChar">
    <w:name w:val="Comment Subject Char"/>
    <w:basedOn w:val="CommentTextChar"/>
    <w:link w:val="CommentSubject"/>
    <w:uiPriority w:val="99"/>
    <w:semiHidden/>
    <w:rsid w:val="001F6D79"/>
    <w:rPr>
      <w:rFonts w:ascii="Times New Roman" w:hAnsi="Times New Roman"/>
      <w:b/>
      <w:bCs/>
    </w:rPr>
  </w:style>
  <w:style w:type="paragraph" w:customStyle="1" w:styleId="paragraph">
    <w:name w:val="paragraph"/>
    <w:basedOn w:val="Normal"/>
    <w:rsid w:val="001219DE"/>
    <w:pPr>
      <w:widowControl/>
      <w:spacing w:before="86" w:after="86"/>
      <w:ind w:left="305"/>
    </w:pPr>
    <w:rPr>
      <w:rFonts w:ascii="Arial" w:hAnsi="Arial" w:cs="Arial"/>
      <w:color w:val="000000"/>
      <w:sz w:val="22"/>
      <w:szCs w:val="22"/>
    </w:rPr>
  </w:style>
  <w:style w:type="paragraph" w:styleId="NoSpacing">
    <w:name w:val="No Spacing"/>
    <w:link w:val="NoSpacingChar"/>
    <w:uiPriority w:val="1"/>
    <w:qFormat/>
    <w:rsid w:val="000206BE"/>
    <w:rPr>
      <w:rFonts w:eastAsia="Calibri"/>
      <w:sz w:val="22"/>
      <w:szCs w:val="22"/>
    </w:rPr>
  </w:style>
  <w:style w:type="character" w:customStyle="1" w:styleId="NoSpacingChar">
    <w:name w:val="No Spacing Char"/>
    <w:link w:val="NoSpacing"/>
    <w:uiPriority w:val="1"/>
    <w:rsid w:val="000206BE"/>
    <w:rPr>
      <w:rFonts w:eastAsia="Calibri"/>
      <w:sz w:val="22"/>
      <w:szCs w:val="22"/>
    </w:rPr>
  </w:style>
  <w:style w:type="table" w:styleId="TableGrid">
    <w:name w:val="Table Grid"/>
    <w:basedOn w:val="TableNormal"/>
    <w:uiPriority w:val="59"/>
    <w:locked/>
    <w:rsid w:val="00C069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C522A3"/>
    <w:rPr>
      <w:rFonts w:ascii="Times New Roman" w:hAnsi="Times New Roman"/>
      <w:sz w:val="24"/>
    </w:rPr>
  </w:style>
  <w:style w:type="paragraph" w:customStyle="1" w:styleId="headercas">
    <w:name w:val="headercas"/>
    <w:basedOn w:val="Normal"/>
    <w:rsid w:val="00C56B4A"/>
    <w:pPr>
      <w:widowControl/>
      <w:spacing w:before="65" w:after="65"/>
    </w:pPr>
    <w:rPr>
      <w:b/>
      <w:bCs/>
      <w:sz w:val="23"/>
      <w:szCs w:val="23"/>
    </w:rPr>
  </w:style>
  <w:style w:type="paragraph" w:customStyle="1" w:styleId="l5cas">
    <w:name w:val="l5cas"/>
    <w:basedOn w:val="Normal"/>
    <w:rsid w:val="00C56B4A"/>
    <w:pPr>
      <w:widowControl/>
      <w:spacing w:before="65" w:after="65"/>
    </w:pPr>
    <w:rPr>
      <w:b/>
      <w:bCs/>
      <w:sz w:val="22"/>
      <w:szCs w:val="22"/>
    </w:rPr>
  </w:style>
  <w:style w:type="paragraph" w:customStyle="1" w:styleId="paragraphnoindent">
    <w:name w:val="paragraphnoindent"/>
    <w:basedOn w:val="Normal"/>
    <w:rsid w:val="00C56B4A"/>
    <w:pPr>
      <w:widowControl/>
      <w:spacing w:before="65" w:after="65"/>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F3"/>
    <w:pPr>
      <w:widowControl w:val="0"/>
    </w:pPr>
    <w:rPr>
      <w:rFonts w:ascii="Times New Roman" w:hAnsi="Times New Roman"/>
      <w:sz w:val="24"/>
    </w:rPr>
  </w:style>
  <w:style w:type="paragraph" w:styleId="Heading1">
    <w:name w:val="heading 1"/>
    <w:basedOn w:val="Normal"/>
    <w:next w:val="Normal"/>
    <w:link w:val="Heading1Char"/>
    <w:uiPriority w:val="9"/>
    <w:qFormat/>
    <w:locked/>
    <w:rsid w:val="00453E90"/>
    <w:pPr>
      <w:keepNext/>
      <w:widowControl/>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3E90"/>
    <w:rPr>
      <w:rFonts w:ascii="Times New Roman" w:hAnsi="Times New Roman" w:cs="Times New Roman"/>
      <w:b/>
      <w:sz w:val="20"/>
      <w:szCs w:val="20"/>
    </w:rPr>
  </w:style>
  <w:style w:type="paragraph" w:styleId="NormalWeb">
    <w:name w:val="Normal (Web)"/>
    <w:basedOn w:val="Normal"/>
    <w:uiPriority w:val="99"/>
    <w:rsid w:val="001C4478"/>
    <w:pPr>
      <w:widowControl/>
      <w:spacing w:before="100" w:beforeAutospacing="1" w:after="100" w:afterAutospacing="1"/>
    </w:pPr>
    <w:rPr>
      <w:szCs w:val="24"/>
      <w:lang w:val="en-CA"/>
    </w:rPr>
  </w:style>
  <w:style w:type="paragraph" w:customStyle="1" w:styleId="Default">
    <w:name w:val="Default"/>
    <w:rsid w:val="001C4478"/>
    <w:pPr>
      <w:autoSpaceDE w:val="0"/>
      <w:autoSpaceDN w:val="0"/>
      <w:adjustRightInd w:val="0"/>
    </w:pPr>
    <w:rPr>
      <w:rFonts w:ascii="Arial" w:hAnsi="Arial" w:cs="Arial"/>
      <w:color w:val="000000"/>
      <w:sz w:val="24"/>
      <w:szCs w:val="24"/>
      <w:lang w:val="en-CA" w:eastAsia="en-CA"/>
    </w:rPr>
  </w:style>
  <w:style w:type="paragraph" w:styleId="BodyTextIndent2">
    <w:name w:val="Body Text Indent 2"/>
    <w:basedOn w:val="Normal"/>
    <w:link w:val="BodyTextIndent2Char"/>
    <w:uiPriority w:val="99"/>
    <w:rsid w:val="001C4478"/>
    <w:pPr>
      <w:tabs>
        <w:tab w:val="left" w:pos="720"/>
        <w:tab w:val="left" w:pos="990"/>
        <w:tab w:val="left" w:pos="1260"/>
        <w:tab w:val="left" w:pos="7459"/>
        <w:tab w:val="decimal" w:pos="8467"/>
        <w:tab w:val="left" w:pos="8726"/>
        <w:tab w:val="decimal" w:pos="9720"/>
      </w:tabs>
      <w:ind w:left="990" w:hanging="990"/>
      <w:jc w:val="both"/>
    </w:pPr>
    <w:rPr>
      <w:sz w:val="20"/>
      <w:lang w:val="en-GB"/>
    </w:rPr>
  </w:style>
  <w:style w:type="character" w:customStyle="1" w:styleId="BodyTextIndent2Char">
    <w:name w:val="Body Text Indent 2 Char"/>
    <w:link w:val="BodyTextIndent2"/>
    <w:uiPriority w:val="99"/>
    <w:locked/>
    <w:rsid w:val="001C4478"/>
    <w:rPr>
      <w:rFonts w:ascii="Times New Roman" w:hAnsi="Times New Roman" w:cs="Times New Roman"/>
      <w:sz w:val="20"/>
      <w:szCs w:val="20"/>
      <w:lang w:val="en-GB"/>
    </w:rPr>
  </w:style>
  <w:style w:type="paragraph" w:styleId="ListParagraph">
    <w:name w:val="List Paragraph"/>
    <w:basedOn w:val="Normal"/>
    <w:link w:val="ListParagraphChar"/>
    <w:uiPriority w:val="34"/>
    <w:qFormat/>
    <w:rsid w:val="001C4478"/>
    <w:pPr>
      <w:ind w:left="720"/>
    </w:pPr>
  </w:style>
  <w:style w:type="paragraph" w:customStyle="1" w:styleId="Ne2">
    <w:name w:val="Ne2"/>
    <w:basedOn w:val="Normal"/>
    <w:uiPriority w:val="99"/>
    <w:rsid w:val="001C4478"/>
    <w:pPr>
      <w:widowControl/>
      <w:overflowPunct w:val="0"/>
      <w:autoSpaceDE w:val="0"/>
      <w:autoSpaceDN w:val="0"/>
      <w:adjustRightInd w:val="0"/>
      <w:spacing w:before="120" w:line="280" w:lineRule="atLeast"/>
      <w:ind w:left="360"/>
      <w:jc w:val="both"/>
      <w:textAlignment w:val="baseline"/>
    </w:pPr>
    <w:rPr>
      <w:rFonts w:ascii="Helvetica" w:hAnsi="Helvetica"/>
      <w:sz w:val="20"/>
    </w:rPr>
  </w:style>
  <w:style w:type="paragraph" w:styleId="BodyText3">
    <w:name w:val="Body Text 3"/>
    <w:basedOn w:val="Normal"/>
    <w:link w:val="BodyText3Char"/>
    <w:uiPriority w:val="99"/>
    <w:rsid w:val="001C4478"/>
    <w:pPr>
      <w:spacing w:after="120"/>
    </w:pPr>
    <w:rPr>
      <w:sz w:val="16"/>
      <w:szCs w:val="16"/>
    </w:rPr>
  </w:style>
  <w:style w:type="character" w:customStyle="1" w:styleId="BodyText3Char">
    <w:name w:val="Body Text 3 Char"/>
    <w:link w:val="BodyText3"/>
    <w:uiPriority w:val="99"/>
    <w:locked/>
    <w:rsid w:val="001C4478"/>
    <w:rPr>
      <w:rFonts w:ascii="Times New Roman" w:hAnsi="Times New Roman" w:cs="Times New Roman"/>
      <w:sz w:val="16"/>
      <w:szCs w:val="16"/>
      <w:lang w:val="en-US"/>
    </w:rPr>
  </w:style>
  <w:style w:type="paragraph" w:customStyle="1" w:styleId="Ne1">
    <w:name w:val="Ne1"/>
    <w:basedOn w:val="Normal"/>
    <w:next w:val="Ne2"/>
    <w:uiPriority w:val="99"/>
    <w:rsid w:val="001C4478"/>
    <w:pPr>
      <w:widowControl/>
      <w:tabs>
        <w:tab w:val="left" w:pos="360"/>
      </w:tabs>
      <w:overflowPunct w:val="0"/>
      <w:autoSpaceDE w:val="0"/>
      <w:autoSpaceDN w:val="0"/>
      <w:adjustRightInd w:val="0"/>
      <w:spacing w:before="120" w:line="280" w:lineRule="atLeast"/>
      <w:textAlignment w:val="baseline"/>
    </w:pPr>
    <w:rPr>
      <w:rFonts w:ascii="Helvetica" w:hAnsi="Helvetica"/>
      <w:b/>
      <w:sz w:val="20"/>
    </w:rPr>
  </w:style>
  <w:style w:type="character" w:styleId="Hyperlink">
    <w:name w:val="Hyperlink"/>
    <w:uiPriority w:val="99"/>
    <w:rsid w:val="001C4478"/>
    <w:rPr>
      <w:rFonts w:cs="Times New Roman"/>
      <w:color w:val="0000FF"/>
      <w:u w:val="single"/>
    </w:rPr>
  </w:style>
  <w:style w:type="paragraph" w:styleId="BodyText">
    <w:name w:val="Body Text"/>
    <w:basedOn w:val="Normal"/>
    <w:link w:val="BodyTextChar"/>
    <w:uiPriority w:val="99"/>
    <w:semiHidden/>
    <w:rsid w:val="001C4478"/>
    <w:pPr>
      <w:spacing w:after="120"/>
    </w:pPr>
    <w:rPr>
      <w:sz w:val="20"/>
    </w:rPr>
  </w:style>
  <w:style w:type="character" w:customStyle="1" w:styleId="BodyTextChar">
    <w:name w:val="Body Text Char"/>
    <w:link w:val="BodyText"/>
    <w:uiPriority w:val="99"/>
    <w:semiHidden/>
    <w:locked/>
    <w:rsid w:val="001C4478"/>
    <w:rPr>
      <w:rFonts w:ascii="Times New Roman" w:hAnsi="Times New Roman" w:cs="Times New Roman"/>
      <w:sz w:val="20"/>
      <w:szCs w:val="20"/>
      <w:lang w:val="en-US"/>
    </w:rPr>
  </w:style>
  <w:style w:type="paragraph" w:customStyle="1" w:styleId="Normal2B">
    <w:name w:val="Normal 2B"/>
    <w:basedOn w:val="Normal"/>
    <w:uiPriority w:val="99"/>
    <w:rsid w:val="001C4478"/>
    <w:pPr>
      <w:jc w:val="both"/>
    </w:pPr>
    <w:rPr>
      <w:rFonts w:ascii="Arial" w:hAnsi="Arial"/>
      <w:b/>
      <w:caps/>
      <w:spacing w:val="-2"/>
      <w:sz w:val="22"/>
      <w:lang w:val="en-GB"/>
    </w:rPr>
  </w:style>
  <w:style w:type="paragraph" w:customStyle="1" w:styleId="textnotes">
    <w:name w:val="text notes"/>
    <w:aliases w:val="TN,tn"/>
    <w:basedOn w:val="Normal"/>
    <w:uiPriority w:val="99"/>
    <w:rsid w:val="001C4478"/>
    <w:pPr>
      <w:widowControl/>
      <w:tabs>
        <w:tab w:val="decimal" w:pos="6380"/>
        <w:tab w:val="decimal" w:pos="7920"/>
      </w:tabs>
      <w:jc w:val="both"/>
    </w:pPr>
    <w:rPr>
      <w:rFonts w:ascii="Times" w:hAnsi="Times"/>
      <w:sz w:val="20"/>
    </w:rPr>
  </w:style>
  <w:style w:type="paragraph" w:customStyle="1" w:styleId="HEADERNOTESWITHNUMBERS">
    <w:name w:val="HEADER/NOTES WITH NUMBERS"/>
    <w:basedOn w:val="Normal"/>
    <w:uiPriority w:val="99"/>
    <w:rsid w:val="001C4478"/>
    <w:pPr>
      <w:widowControl/>
      <w:numPr>
        <w:numId w:val="1"/>
      </w:numPr>
      <w:overflowPunct w:val="0"/>
      <w:autoSpaceDE w:val="0"/>
      <w:autoSpaceDN w:val="0"/>
      <w:adjustRightInd w:val="0"/>
      <w:textAlignment w:val="baseline"/>
    </w:pPr>
    <w:rPr>
      <w:b/>
      <w:lang w:val="en-CA"/>
    </w:rPr>
  </w:style>
  <w:style w:type="paragraph" w:styleId="Header">
    <w:name w:val="header"/>
    <w:basedOn w:val="Normal"/>
    <w:link w:val="HeaderChar"/>
    <w:uiPriority w:val="99"/>
    <w:rsid w:val="00B6553D"/>
    <w:pPr>
      <w:tabs>
        <w:tab w:val="center" w:pos="4680"/>
        <w:tab w:val="right" w:pos="9360"/>
      </w:tabs>
    </w:pPr>
    <w:rPr>
      <w:sz w:val="20"/>
    </w:rPr>
  </w:style>
  <w:style w:type="character" w:customStyle="1" w:styleId="HeaderChar">
    <w:name w:val="Header Char"/>
    <w:link w:val="Header"/>
    <w:uiPriority w:val="99"/>
    <w:locked/>
    <w:rsid w:val="00B6553D"/>
    <w:rPr>
      <w:rFonts w:ascii="Times New Roman" w:hAnsi="Times New Roman" w:cs="Times New Roman"/>
      <w:sz w:val="20"/>
      <w:szCs w:val="20"/>
      <w:lang w:val="en-US"/>
    </w:rPr>
  </w:style>
  <w:style w:type="paragraph" w:styleId="Footer">
    <w:name w:val="footer"/>
    <w:basedOn w:val="Normal"/>
    <w:link w:val="FooterChar"/>
    <w:uiPriority w:val="99"/>
    <w:rsid w:val="00B6553D"/>
    <w:pPr>
      <w:tabs>
        <w:tab w:val="center" w:pos="4680"/>
        <w:tab w:val="right" w:pos="9360"/>
      </w:tabs>
    </w:pPr>
    <w:rPr>
      <w:sz w:val="20"/>
    </w:rPr>
  </w:style>
  <w:style w:type="character" w:customStyle="1" w:styleId="FooterChar">
    <w:name w:val="Footer Char"/>
    <w:link w:val="Footer"/>
    <w:uiPriority w:val="99"/>
    <w:locked/>
    <w:rsid w:val="00B6553D"/>
    <w:rPr>
      <w:rFonts w:ascii="Times New Roman" w:hAnsi="Times New Roman" w:cs="Times New Roman"/>
      <w:sz w:val="20"/>
      <w:szCs w:val="20"/>
      <w:lang w:val="en-US"/>
    </w:rPr>
  </w:style>
  <w:style w:type="paragraph" w:styleId="BalloonText">
    <w:name w:val="Balloon Text"/>
    <w:basedOn w:val="Normal"/>
    <w:link w:val="BalloonTextChar"/>
    <w:uiPriority w:val="99"/>
    <w:semiHidden/>
    <w:rsid w:val="00B6553D"/>
    <w:rPr>
      <w:rFonts w:ascii="Tahoma" w:hAnsi="Tahoma"/>
      <w:sz w:val="16"/>
      <w:szCs w:val="16"/>
    </w:rPr>
  </w:style>
  <w:style w:type="character" w:customStyle="1" w:styleId="BalloonTextChar">
    <w:name w:val="Balloon Text Char"/>
    <w:link w:val="BalloonText"/>
    <w:uiPriority w:val="99"/>
    <w:semiHidden/>
    <w:locked/>
    <w:rsid w:val="00B6553D"/>
    <w:rPr>
      <w:rFonts w:ascii="Tahoma" w:hAnsi="Tahoma" w:cs="Tahoma"/>
      <w:sz w:val="16"/>
      <w:szCs w:val="16"/>
      <w:lang w:val="en-US"/>
    </w:rPr>
  </w:style>
  <w:style w:type="paragraph" w:styleId="ListBullet">
    <w:name w:val="List Bullet"/>
    <w:basedOn w:val="Normal"/>
    <w:autoRedefine/>
    <w:uiPriority w:val="99"/>
    <w:rsid w:val="006E4E04"/>
    <w:pPr>
      <w:widowControl/>
      <w:spacing w:line="228" w:lineRule="auto"/>
      <w:jc w:val="both"/>
    </w:pPr>
    <w:rPr>
      <w:lang w:val="en-CA"/>
    </w:rPr>
  </w:style>
  <w:style w:type="paragraph" w:customStyle="1" w:styleId="DRFinancialStatements">
    <w:name w:val="DR Financial Statements"/>
    <w:basedOn w:val="Normal"/>
    <w:rsid w:val="00A8198C"/>
    <w:pPr>
      <w:suppressAutoHyphens/>
      <w:overflowPunct w:val="0"/>
      <w:autoSpaceDE w:val="0"/>
      <w:autoSpaceDN w:val="0"/>
      <w:adjustRightInd w:val="0"/>
      <w:spacing w:line="100" w:lineRule="atLeast"/>
      <w:jc w:val="both"/>
      <w:textAlignment w:val="baseline"/>
    </w:pPr>
    <w:rPr>
      <w:rFonts w:ascii="Univers" w:hAnsi="Univers"/>
      <w:spacing w:val="-2"/>
      <w:sz w:val="20"/>
      <w:lang w:val="en-GB"/>
    </w:rPr>
  </w:style>
  <w:style w:type="paragraph" w:customStyle="1" w:styleId="Char1">
    <w:name w:val="Char1"/>
    <w:basedOn w:val="Normal"/>
    <w:rsid w:val="00A8198C"/>
    <w:pPr>
      <w:widowControl/>
      <w:spacing w:after="160" w:line="240" w:lineRule="exact"/>
    </w:pPr>
    <w:rPr>
      <w:sz w:val="20"/>
    </w:rPr>
  </w:style>
  <w:style w:type="paragraph" w:customStyle="1" w:styleId="Technical4">
    <w:name w:val="Technical 4"/>
    <w:rsid w:val="00A1345C"/>
    <w:pPr>
      <w:suppressAutoHyphens/>
      <w:overflowPunct w:val="0"/>
      <w:autoSpaceDE w:val="0"/>
      <w:autoSpaceDN w:val="0"/>
      <w:adjustRightInd w:val="0"/>
      <w:textAlignment w:val="baseline"/>
    </w:pPr>
    <w:rPr>
      <w:rFonts w:ascii="Courier New" w:hAnsi="Courier New"/>
      <w:b/>
    </w:rPr>
  </w:style>
  <w:style w:type="character" w:customStyle="1" w:styleId="WW8Num45z0">
    <w:name w:val="WW8Num45z0"/>
    <w:rsid w:val="00A1345C"/>
    <w:rPr>
      <w:rFonts w:ascii="Wingdings" w:hAnsi="Wingdings"/>
      <w:sz w:val="16"/>
    </w:rPr>
  </w:style>
  <w:style w:type="paragraph" w:customStyle="1" w:styleId="DRFS">
    <w:name w:val="DR_FS"/>
    <w:basedOn w:val="Normal"/>
    <w:rsid w:val="00A01502"/>
    <w:pPr>
      <w:widowControl/>
      <w:tabs>
        <w:tab w:val="left" w:pos="3161"/>
        <w:tab w:val="left" w:pos="4331"/>
        <w:tab w:val="decimal" w:pos="6480"/>
        <w:tab w:val="left" w:pos="7451"/>
      </w:tabs>
      <w:suppressAutoHyphens/>
      <w:overflowPunct w:val="0"/>
      <w:autoSpaceDE w:val="0"/>
      <w:autoSpaceDN w:val="0"/>
      <w:adjustRightInd w:val="0"/>
      <w:spacing w:line="252" w:lineRule="auto"/>
      <w:jc w:val="both"/>
      <w:textAlignment w:val="baseline"/>
    </w:pPr>
    <w:rPr>
      <w:rFonts w:ascii="Univers" w:hAnsi="Univers"/>
      <w:b/>
      <w:spacing w:val="-3"/>
      <w:sz w:val="30"/>
      <w:lang w:val="en-GB"/>
    </w:rPr>
  </w:style>
  <w:style w:type="paragraph" w:styleId="BodyTextIndent">
    <w:name w:val="Body Text Indent"/>
    <w:basedOn w:val="Normal"/>
    <w:link w:val="BodyTextIndentChar"/>
    <w:uiPriority w:val="99"/>
    <w:semiHidden/>
    <w:unhideWhenUsed/>
    <w:rsid w:val="00BE473F"/>
    <w:pPr>
      <w:spacing w:after="120"/>
      <w:ind w:left="283"/>
    </w:pPr>
  </w:style>
  <w:style w:type="character" w:customStyle="1" w:styleId="BodyTextIndentChar">
    <w:name w:val="Body Text Indent Char"/>
    <w:link w:val="BodyTextIndent"/>
    <w:uiPriority w:val="99"/>
    <w:semiHidden/>
    <w:rsid w:val="00BE473F"/>
    <w:rPr>
      <w:rFonts w:ascii="Times New Roman" w:hAnsi="Times New Roman"/>
      <w:sz w:val="24"/>
    </w:rPr>
  </w:style>
  <w:style w:type="paragraph" w:styleId="Revision">
    <w:name w:val="Revision"/>
    <w:hidden/>
    <w:uiPriority w:val="99"/>
    <w:semiHidden/>
    <w:rsid w:val="00A5767A"/>
    <w:rPr>
      <w:rFonts w:ascii="Times New Roman" w:hAnsi="Times New Roman"/>
      <w:sz w:val="24"/>
    </w:rPr>
  </w:style>
  <w:style w:type="paragraph" w:styleId="EndnoteText">
    <w:name w:val="endnote text"/>
    <w:basedOn w:val="Normal"/>
    <w:link w:val="EndnoteTextChar"/>
    <w:uiPriority w:val="99"/>
    <w:semiHidden/>
    <w:unhideWhenUsed/>
    <w:rsid w:val="00C749DA"/>
    <w:rPr>
      <w:sz w:val="20"/>
    </w:rPr>
  </w:style>
  <w:style w:type="character" w:customStyle="1" w:styleId="EndnoteTextChar">
    <w:name w:val="Endnote Text Char"/>
    <w:basedOn w:val="DefaultParagraphFont"/>
    <w:link w:val="EndnoteText"/>
    <w:uiPriority w:val="99"/>
    <w:semiHidden/>
    <w:rsid w:val="00C749DA"/>
    <w:rPr>
      <w:rFonts w:ascii="Times New Roman" w:hAnsi="Times New Roman"/>
    </w:rPr>
  </w:style>
  <w:style w:type="character" w:styleId="EndnoteReference">
    <w:name w:val="endnote reference"/>
    <w:basedOn w:val="DefaultParagraphFont"/>
    <w:uiPriority w:val="99"/>
    <w:semiHidden/>
    <w:unhideWhenUsed/>
    <w:rsid w:val="00C749DA"/>
    <w:rPr>
      <w:vertAlign w:val="superscript"/>
    </w:rPr>
  </w:style>
  <w:style w:type="character" w:styleId="CommentReference">
    <w:name w:val="annotation reference"/>
    <w:basedOn w:val="DefaultParagraphFont"/>
    <w:uiPriority w:val="99"/>
    <w:semiHidden/>
    <w:unhideWhenUsed/>
    <w:rsid w:val="001F6D79"/>
    <w:rPr>
      <w:sz w:val="16"/>
      <w:szCs w:val="16"/>
    </w:rPr>
  </w:style>
  <w:style w:type="paragraph" w:styleId="CommentText">
    <w:name w:val="annotation text"/>
    <w:basedOn w:val="Normal"/>
    <w:link w:val="CommentTextChar"/>
    <w:uiPriority w:val="99"/>
    <w:semiHidden/>
    <w:unhideWhenUsed/>
    <w:rsid w:val="001F6D79"/>
    <w:rPr>
      <w:sz w:val="20"/>
    </w:rPr>
  </w:style>
  <w:style w:type="character" w:customStyle="1" w:styleId="CommentTextChar">
    <w:name w:val="Comment Text Char"/>
    <w:basedOn w:val="DefaultParagraphFont"/>
    <w:link w:val="CommentText"/>
    <w:uiPriority w:val="99"/>
    <w:semiHidden/>
    <w:rsid w:val="001F6D7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F6D79"/>
    <w:rPr>
      <w:b/>
      <w:bCs/>
    </w:rPr>
  </w:style>
  <w:style w:type="character" w:customStyle="1" w:styleId="CommentSubjectChar">
    <w:name w:val="Comment Subject Char"/>
    <w:basedOn w:val="CommentTextChar"/>
    <w:link w:val="CommentSubject"/>
    <w:uiPriority w:val="99"/>
    <w:semiHidden/>
    <w:rsid w:val="001F6D79"/>
    <w:rPr>
      <w:rFonts w:ascii="Times New Roman" w:hAnsi="Times New Roman"/>
      <w:b/>
      <w:bCs/>
    </w:rPr>
  </w:style>
  <w:style w:type="paragraph" w:customStyle="1" w:styleId="paragraph">
    <w:name w:val="paragraph"/>
    <w:basedOn w:val="Normal"/>
    <w:rsid w:val="001219DE"/>
    <w:pPr>
      <w:widowControl/>
      <w:spacing w:before="86" w:after="86"/>
      <w:ind w:left="305"/>
    </w:pPr>
    <w:rPr>
      <w:rFonts w:ascii="Arial" w:hAnsi="Arial" w:cs="Arial"/>
      <w:color w:val="000000"/>
      <w:sz w:val="22"/>
      <w:szCs w:val="22"/>
    </w:rPr>
  </w:style>
  <w:style w:type="paragraph" w:styleId="NoSpacing">
    <w:name w:val="No Spacing"/>
    <w:link w:val="NoSpacingChar"/>
    <w:uiPriority w:val="1"/>
    <w:qFormat/>
    <w:rsid w:val="000206BE"/>
    <w:rPr>
      <w:rFonts w:eastAsia="Calibri"/>
      <w:sz w:val="22"/>
      <w:szCs w:val="22"/>
    </w:rPr>
  </w:style>
  <w:style w:type="character" w:customStyle="1" w:styleId="NoSpacingChar">
    <w:name w:val="No Spacing Char"/>
    <w:link w:val="NoSpacing"/>
    <w:uiPriority w:val="1"/>
    <w:rsid w:val="000206BE"/>
    <w:rPr>
      <w:rFonts w:eastAsia="Calibri"/>
      <w:sz w:val="22"/>
      <w:szCs w:val="22"/>
    </w:rPr>
  </w:style>
  <w:style w:type="table" w:styleId="TableGrid">
    <w:name w:val="Table Grid"/>
    <w:basedOn w:val="TableNormal"/>
    <w:uiPriority w:val="59"/>
    <w:locked/>
    <w:rsid w:val="00C0697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C522A3"/>
    <w:rPr>
      <w:rFonts w:ascii="Times New Roman" w:hAnsi="Times New Roman"/>
      <w:sz w:val="24"/>
    </w:rPr>
  </w:style>
  <w:style w:type="paragraph" w:customStyle="1" w:styleId="headercas">
    <w:name w:val="headercas"/>
    <w:basedOn w:val="Normal"/>
    <w:rsid w:val="00C56B4A"/>
    <w:pPr>
      <w:widowControl/>
      <w:spacing w:before="65" w:after="65"/>
    </w:pPr>
    <w:rPr>
      <w:b/>
      <w:bCs/>
      <w:sz w:val="23"/>
      <w:szCs w:val="23"/>
    </w:rPr>
  </w:style>
  <w:style w:type="paragraph" w:customStyle="1" w:styleId="l5cas">
    <w:name w:val="l5cas"/>
    <w:basedOn w:val="Normal"/>
    <w:rsid w:val="00C56B4A"/>
    <w:pPr>
      <w:widowControl/>
      <w:spacing w:before="65" w:after="65"/>
    </w:pPr>
    <w:rPr>
      <w:b/>
      <w:bCs/>
      <w:sz w:val="22"/>
      <w:szCs w:val="22"/>
    </w:rPr>
  </w:style>
  <w:style w:type="paragraph" w:customStyle="1" w:styleId="paragraphnoindent">
    <w:name w:val="paragraphnoindent"/>
    <w:basedOn w:val="Normal"/>
    <w:rsid w:val="00C56B4A"/>
    <w:pPr>
      <w:widowControl/>
      <w:spacing w:before="65" w:after="65"/>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180">
      <w:bodyDiv w:val="1"/>
      <w:marLeft w:val="0"/>
      <w:marRight w:val="0"/>
      <w:marTop w:val="0"/>
      <w:marBottom w:val="0"/>
      <w:divBdr>
        <w:top w:val="none" w:sz="0" w:space="0" w:color="auto"/>
        <w:left w:val="none" w:sz="0" w:space="0" w:color="auto"/>
        <w:bottom w:val="none" w:sz="0" w:space="0" w:color="auto"/>
        <w:right w:val="none" w:sz="0" w:space="0" w:color="auto"/>
      </w:divBdr>
    </w:div>
    <w:div w:id="6951710">
      <w:bodyDiv w:val="1"/>
      <w:marLeft w:val="0"/>
      <w:marRight w:val="0"/>
      <w:marTop w:val="0"/>
      <w:marBottom w:val="0"/>
      <w:divBdr>
        <w:top w:val="none" w:sz="0" w:space="0" w:color="auto"/>
        <w:left w:val="none" w:sz="0" w:space="0" w:color="auto"/>
        <w:bottom w:val="none" w:sz="0" w:space="0" w:color="auto"/>
        <w:right w:val="none" w:sz="0" w:space="0" w:color="auto"/>
      </w:divBdr>
    </w:div>
    <w:div w:id="18051964">
      <w:bodyDiv w:val="1"/>
      <w:marLeft w:val="0"/>
      <w:marRight w:val="0"/>
      <w:marTop w:val="0"/>
      <w:marBottom w:val="0"/>
      <w:divBdr>
        <w:top w:val="none" w:sz="0" w:space="0" w:color="auto"/>
        <w:left w:val="none" w:sz="0" w:space="0" w:color="auto"/>
        <w:bottom w:val="none" w:sz="0" w:space="0" w:color="auto"/>
        <w:right w:val="none" w:sz="0" w:space="0" w:color="auto"/>
      </w:divBdr>
    </w:div>
    <w:div w:id="44449935">
      <w:bodyDiv w:val="1"/>
      <w:marLeft w:val="0"/>
      <w:marRight w:val="0"/>
      <w:marTop w:val="0"/>
      <w:marBottom w:val="0"/>
      <w:divBdr>
        <w:top w:val="none" w:sz="0" w:space="0" w:color="auto"/>
        <w:left w:val="none" w:sz="0" w:space="0" w:color="auto"/>
        <w:bottom w:val="none" w:sz="0" w:space="0" w:color="auto"/>
        <w:right w:val="none" w:sz="0" w:space="0" w:color="auto"/>
      </w:divBdr>
    </w:div>
    <w:div w:id="54007875">
      <w:bodyDiv w:val="1"/>
      <w:marLeft w:val="0"/>
      <w:marRight w:val="0"/>
      <w:marTop w:val="0"/>
      <w:marBottom w:val="0"/>
      <w:divBdr>
        <w:top w:val="none" w:sz="0" w:space="0" w:color="auto"/>
        <w:left w:val="none" w:sz="0" w:space="0" w:color="auto"/>
        <w:bottom w:val="none" w:sz="0" w:space="0" w:color="auto"/>
        <w:right w:val="none" w:sz="0" w:space="0" w:color="auto"/>
      </w:divBdr>
    </w:div>
    <w:div w:id="57751414">
      <w:bodyDiv w:val="1"/>
      <w:marLeft w:val="0"/>
      <w:marRight w:val="0"/>
      <w:marTop w:val="0"/>
      <w:marBottom w:val="0"/>
      <w:divBdr>
        <w:top w:val="none" w:sz="0" w:space="0" w:color="auto"/>
        <w:left w:val="none" w:sz="0" w:space="0" w:color="auto"/>
        <w:bottom w:val="none" w:sz="0" w:space="0" w:color="auto"/>
        <w:right w:val="none" w:sz="0" w:space="0" w:color="auto"/>
      </w:divBdr>
    </w:div>
    <w:div w:id="79179880">
      <w:bodyDiv w:val="1"/>
      <w:marLeft w:val="0"/>
      <w:marRight w:val="0"/>
      <w:marTop w:val="0"/>
      <w:marBottom w:val="0"/>
      <w:divBdr>
        <w:top w:val="none" w:sz="0" w:space="0" w:color="auto"/>
        <w:left w:val="none" w:sz="0" w:space="0" w:color="auto"/>
        <w:bottom w:val="none" w:sz="0" w:space="0" w:color="auto"/>
        <w:right w:val="none" w:sz="0" w:space="0" w:color="auto"/>
      </w:divBdr>
    </w:div>
    <w:div w:id="108091527">
      <w:bodyDiv w:val="1"/>
      <w:marLeft w:val="0"/>
      <w:marRight w:val="0"/>
      <w:marTop w:val="0"/>
      <w:marBottom w:val="0"/>
      <w:divBdr>
        <w:top w:val="none" w:sz="0" w:space="0" w:color="auto"/>
        <w:left w:val="none" w:sz="0" w:space="0" w:color="auto"/>
        <w:bottom w:val="none" w:sz="0" w:space="0" w:color="auto"/>
        <w:right w:val="none" w:sz="0" w:space="0" w:color="auto"/>
      </w:divBdr>
    </w:div>
    <w:div w:id="118109867">
      <w:bodyDiv w:val="1"/>
      <w:marLeft w:val="0"/>
      <w:marRight w:val="0"/>
      <w:marTop w:val="0"/>
      <w:marBottom w:val="0"/>
      <w:divBdr>
        <w:top w:val="none" w:sz="0" w:space="0" w:color="auto"/>
        <w:left w:val="none" w:sz="0" w:space="0" w:color="auto"/>
        <w:bottom w:val="none" w:sz="0" w:space="0" w:color="auto"/>
        <w:right w:val="none" w:sz="0" w:space="0" w:color="auto"/>
      </w:divBdr>
    </w:div>
    <w:div w:id="120609650">
      <w:bodyDiv w:val="1"/>
      <w:marLeft w:val="0"/>
      <w:marRight w:val="0"/>
      <w:marTop w:val="0"/>
      <w:marBottom w:val="0"/>
      <w:divBdr>
        <w:top w:val="none" w:sz="0" w:space="0" w:color="auto"/>
        <w:left w:val="none" w:sz="0" w:space="0" w:color="auto"/>
        <w:bottom w:val="none" w:sz="0" w:space="0" w:color="auto"/>
        <w:right w:val="none" w:sz="0" w:space="0" w:color="auto"/>
      </w:divBdr>
    </w:div>
    <w:div w:id="120851929">
      <w:bodyDiv w:val="1"/>
      <w:marLeft w:val="0"/>
      <w:marRight w:val="0"/>
      <w:marTop w:val="0"/>
      <w:marBottom w:val="0"/>
      <w:divBdr>
        <w:top w:val="none" w:sz="0" w:space="0" w:color="auto"/>
        <w:left w:val="none" w:sz="0" w:space="0" w:color="auto"/>
        <w:bottom w:val="none" w:sz="0" w:space="0" w:color="auto"/>
        <w:right w:val="none" w:sz="0" w:space="0" w:color="auto"/>
      </w:divBdr>
    </w:div>
    <w:div w:id="132674708">
      <w:bodyDiv w:val="1"/>
      <w:marLeft w:val="0"/>
      <w:marRight w:val="0"/>
      <w:marTop w:val="0"/>
      <w:marBottom w:val="0"/>
      <w:divBdr>
        <w:top w:val="none" w:sz="0" w:space="0" w:color="auto"/>
        <w:left w:val="none" w:sz="0" w:space="0" w:color="auto"/>
        <w:bottom w:val="none" w:sz="0" w:space="0" w:color="auto"/>
        <w:right w:val="none" w:sz="0" w:space="0" w:color="auto"/>
      </w:divBdr>
      <w:divsChild>
        <w:div w:id="1934436025">
          <w:marLeft w:val="0"/>
          <w:marRight w:val="0"/>
          <w:marTop w:val="0"/>
          <w:marBottom w:val="0"/>
          <w:divBdr>
            <w:top w:val="none" w:sz="0" w:space="0" w:color="auto"/>
            <w:left w:val="none" w:sz="0" w:space="0" w:color="auto"/>
            <w:bottom w:val="none" w:sz="0" w:space="0" w:color="auto"/>
            <w:right w:val="none" w:sz="0" w:space="0" w:color="auto"/>
          </w:divBdr>
          <w:divsChild>
            <w:div w:id="1247881836">
              <w:marLeft w:val="375"/>
              <w:marRight w:val="150"/>
              <w:marTop w:val="0"/>
              <w:marBottom w:val="0"/>
              <w:divBdr>
                <w:top w:val="none" w:sz="0" w:space="0" w:color="auto"/>
                <w:left w:val="none" w:sz="0" w:space="0" w:color="auto"/>
                <w:bottom w:val="none" w:sz="0" w:space="0" w:color="auto"/>
                <w:right w:val="none" w:sz="0" w:space="0" w:color="auto"/>
              </w:divBdr>
              <w:divsChild>
                <w:div w:id="185486276">
                  <w:marLeft w:val="0"/>
                  <w:marRight w:val="0"/>
                  <w:marTop w:val="0"/>
                  <w:marBottom w:val="300"/>
                  <w:divBdr>
                    <w:top w:val="none" w:sz="0" w:space="0" w:color="auto"/>
                    <w:left w:val="none" w:sz="0" w:space="0" w:color="auto"/>
                    <w:bottom w:val="none" w:sz="0" w:space="0" w:color="auto"/>
                    <w:right w:val="none" w:sz="0" w:space="0" w:color="auto"/>
                  </w:divBdr>
                  <w:divsChild>
                    <w:div w:id="1957785148">
                      <w:marLeft w:val="0"/>
                      <w:marRight w:val="0"/>
                      <w:marTop w:val="0"/>
                      <w:marBottom w:val="0"/>
                      <w:divBdr>
                        <w:top w:val="none" w:sz="0" w:space="0" w:color="auto"/>
                        <w:left w:val="none" w:sz="0" w:space="0" w:color="auto"/>
                        <w:bottom w:val="none" w:sz="0" w:space="0" w:color="auto"/>
                        <w:right w:val="none" w:sz="0" w:space="0" w:color="auto"/>
                      </w:divBdr>
                      <w:divsChild>
                        <w:div w:id="693775136">
                          <w:marLeft w:val="0"/>
                          <w:marRight w:val="0"/>
                          <w:marTop w:val="0"/>
                          <w:marBottom w:val="0"/>
                          <w:divBdr>
                            <w:top w:val="none" w:sz="0" w:space="0" w:color="auto"/>
                            <w:left w:val="none" w:sz="0" w:space="0" w:color="auto"/>
                            <w:bottom w:val="none" w:sz="0" w:space="0" w:color="auto"/>
                            <w:right w:val="none" w:sz="0" w:space="0" w:color="auto"/>
                          </w:divBdr>
                          <w:divsChild>
                            <w:div w:id="3008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26510">
      <w:bodyDiv w:val="1"/>
      <w:marLeft w:val="0"/>
      <w:marRight w:val="0"/>
      <w:marTop w:val="0"/>
      <w:marBottom w:val="0"/>
      <w:divBdr>
        <w:top w:val="none" w:sz="0" w:space="0" w:color="auto"/>
        <w:left w:val="none" w:sz="0" w:space="0" w:color="auto"/>
        <w:bottom w:val="none" w:sz="0" w:space="0" w:color="auto"/>
        <w:right w:val="none" w:sz="0" w:space="0" w:color="auto"/>
      </w:divBdr>
    </w:div>
    <w:div w:id="151994405">
      <w:bodyDiv w:val="1"/>
      <w:marLeft w:val="0"/>
      <w:marRight w:val="0"/>
      <w:marTop w:val="0"/>
      <w:marBottom w:val="0"/>
      <w:divBdr>
        <w:top w:val="none" w:sz="0" w:space="0" w:color="auto"/>
        <w:left w:val="none" w:sz="0" w:space="0" w:color="auto"/>
        <w:bottom w:val="none" w:sz="0" w:space="0" w:color="auto"/>
        <w:right w:val="none" w:sz="0" w:space="0" w:color="auto"/>
      </w:divBdr>
    </w:div>
    <w:div w:id="188687542">
      <w:bodyDiv w:val="1"/>
      <w:marLeft w:val="0"/>
      <w:marRight w:val="0"/>
      <w:marTop w:val="0"/>
      <w:marBottom w:val="0"/>
      <w:divBdr>
        <w:top w:val="none" w:sz="0" w:space="0" w:color="auto"/>
        <w:left w:val="none" w:sz="0" w:space="0" w:color="auto"/>
        <w:bottom w:val="none" w:sz="0" w:space="0" w:color="auto"/>
        <w:right w:val="none" w:sz="0" w:space="0" w:color="auto"/>
      </w:divBdr>
    </w:div>
    <w:div w:id="223033797">
      <w:bodyDiv w:val="1"/>
      <w:marLeft w:val="0"/>
      <w:marRight w:val="0"/>
      <w:marTop w:val="0"/>
      <w:marBottom w:val="0"/>
      <w:divBdr>
        <w:top w:val="none" w:sz="0" w:space="0" w:color="auto"/>
        <w:left w:val="none" w:sz="0" w:space="0" w:color="auto"/>
        <w:bottom w:val="none" w:sz="0" w:space="0" w:color="auto"/>
        <w:right w:val="none" w:sz="0" w:space="0" w:color="auto"/>
      </w:divBdr>
    </w:div>
    <w:div w:id="224488668">
      <w:bodyDiv w:val="1"/>
      <w:marLeft w:val="0"/>
      <w:marRight w:val="0"/>
      <w:marTop w:val="0"/>
      <w:marBottom w:val="0"/>
      <w:divBdr>
        <w:top w:val="none" w:sz="0" w:space="0" w:color="auto"/>
        <w:left w:val="none" w:sz="0" w:space="0" w:color="auto"/>
        <w:bottom w:val="none" w:sz="0" w:space="0" w:color="auto"/>
        <w:right w:val="none" w:sz="0" w:space="0" w:color="auto"/>
      </w:divBdr>
    </w:div>
    <w:div w:id="228200504">
      <w:bodyDiv w:val="1"/>
      <w:marLeft w:val="0"/>
      <w:marRight w:val="0"/>
      <w:marTop w:val="0"/>
      <w:marBottom w:val="0"/>
      <w:divBdr>
        <w:top w:val="none" w:sz="0" w:space="0" w:color="auto"/>
        <w:left w:val="none" w:sz="0" w:space="0" w:color="auto"/>
        <w:bottom w:val="none" w:sz="0" w:space="0" w:color="auto"/>
        <w:right w:val="none" w:sz="0" w:space="0" w:color="auto"/>
      </w:divBdr>
    </w:div>
    <w:div w:id="239171306">
      <w:bodyDiv w:val="1"/>
      <w:marLeft w:val="0"/>
      <w:marRight w:val="0"/>
      <w:marTop w:val="0"/>
      <w:marBottom w:val="0"/>
      <w:divBdr>
        <w:top w:val="none" w:sz="0" w:space="0" w:color="auto"/>
        <w:left w:val="none" w:sz="0" w:space="0" w:color="auto"/>
        <w:bottom w:val="none" w:sz="0" w:space="0" w:color="auto"/>
        <w:right w:val="none" w:sz="0" w:space="0" w:color="auto"/>
      </w:divBdr>
    </w:div>
    <w:div w:id="240137455">
      <w:bodyDiv w:val="1"/>
      <w:marLeft w:val="0"/>
      <w:marRight w:val="0"/>
      <w:marTop w:val="0"/>
      <w:marBottom w:val="0"/>
      <w:divBdr>
        <w:top w:val="none" w:sz="0" w:space="0" w:color="auto"/>
        <w:left w:val="none" w:sz="0" w:space="0" w:color="auto"/>
        <w:bottom w:val="none" w:sz="0" w:space="0" w:color="auto"/>
        <w:right w:val="none" w:sz="0" w:space="0" w:color="auto"/>
      </w:divBdr>
    </w:div>
    <w:div w:id="253169513">
      <w:bodyDiv w:val="1"/>
      <w:marLeft w:val="0"/>
      <w:marRight w:val="0"/>
      <w:marTop w:val="0"/>
      <w:marBottom w:val="0"/>
      <w:divBdr>
        <w:top w:val="none" w:sz="0" w:space="0" w:color="auto"/>
        <w:left w:val="none" w:sz="0" w:space="0" w:color="auto"/>
        <w:bottom w:val="none" w:sz="0" w:space="0" w:color="auto"/>
        <w:right w:val="none" w:sz="0" w:space="0" w:color="auto"/>
      </w:divBdr>
    </w:div>
    <w:div w:id="255947052">
      <w:bodyDiv w:val="1"/>
      <w:marLeft w:val="0"/>
      <w:marRight w:val="0"/>
      <w:marTop w:val="0"/>
      <w:marBottom w:val="0"/>
      <w:divBdr>
        <w:top w:val="none" w:sz="0" w:space="0" w:color="auto"/>
        <w:left w:val="none" w:sz="0" w:space="0" w:color="auto"/>
        <w:bottom w:val="none" w:sz="0" w:space="0" w:color="auto"/>
        <w:right w:val="none" w:sz="0" w:space="0" w:color="auto"/>
      </w:divBdr>
    </w:div>
    <w:div w:id="275063989">
      <w:bodyDiv w:val="1"/>
      <w:marLeft w:val="0"/>
      <w:marRight w:val="0"/>
      <w:marTop w:val="0"/>
      <w:marBottom w:val="0"/>
      <w:divBdr>
        <w:top w:val="none" w:sz="0" w:space="0" w:color="auto"/>
        <w:left w:val="none" w:sz="0" w:space="0" w:color="auto"/>
        <w:bottom w:val="none" w:sz="0" w:space="0" w:color="auto"/>
        <w:right w:val="none" w:sz="0" w:space="0" w:color="auto"/>
      </w:divBdr>
    </w:div>
    <w:div w:id="290064542">
      <w:bodyDiv w:val="1"/>
      <w:marLeft w:val="0"/>
      <w:marRight w:val="0"/>
      <w:marTop w:val="0"/>
      <w:marBottom w:val="0"/>
      <w:divBdr>
        <w:top w:val="none" w:sz="0" w:space="0" w:color="auto"/>
        <w:left w:val="none" w:sz="0" w:space="0" w:color="auto"/>
        <w:bottom w:val="none" w:sz="0" w:space="0" w:color="auto"/>
        <w:right w:val="none" w:sz="0" w:space="0" w:color="auto"/>
      </w:divBdr>
    </w:div>
    <w:div w:id="355891258">
      <w:bodyDiv w:val="1"/>
      <w:marLeft w:val="0"/>
      <w:marRight w:val="0"/>
      <w:marTop w:val="0"/>
      <w:marBottom w:val="0"/>
      <w:divBdr>
        <w:top w:val="none" w:sz="0" w:space="0" w:color="auto"/>
        <w:left w:val="none" w:sz="0" w:space="0" w:color="auto"/>
        <w:bottom w:val="none" w:sz="0" w:space="0" w:color="auto"/>
        <w:right w:val="none" w:sz="0" w:space="0" w:color="auto"/>
      </w:divBdr>
    </w:div>
    <w:div w:id="380518589">
      <w:bodyDiv w:val="1"/>
      <w:marLeft w:val="0"/>
      <w:marRight w:val="0"/>
      <w:marTop w:val="0"/>
      <w:marBottom w:val="0"/>
      <w:divBdr>
        <w:top w:val="none" w:sz="0" w:space="0" w:color="auto"/>
        <w:left w:val="none" w:sz="0" w:space="0" w:color="auto"/>
        <w:bottom w:val="none" w:sz="0" w:space="0" w:color="auto"/>
        <w:right w:val="none" w:sz="0" w:space="0" w:color="auto"/>
      </w:divBdr>
    </w:div>
    <w:div w:id="401634763">
      <w:bodyDiv w:val="1"/>
      <w:marLeft w:val="0"/>
      <w:marRight w:val="0"/>
      <w:marTop w:val="0"/>
      <w:marBottom w:val="0"/>
      <w:divBdr>
        <w:top w:val="none" w:sz="0" w:space="0" w:color="auto"/>
        <w:left w:val="none" w:sz="0" w:space="0" w:color="auto"/>
        <w:bottom w:val="none" w:sz="0" w:space="0" w:color="auto"/>
        <w:right w:val="none" w:sz="0" w:space="0" w:color="auto"/>
      </w:divBdr>
    </w:div>
    <w:div w:id="416708576">
      <w:bodyDiv w:val="1"/>
      <w:marLeft w:val="0"/>
      <w:marRight w:val="0"/>
      <w:marTop w:val="0"/>
      <w:marBottom w:val="0"/>
      <w:divBdr>
        <w:top w:val="none" w:sz="0" w:space="0" w:color="auto"/>
        <w:left w:val="none" w:sz="0" w:space="0" w:color="auto"/>
        <w:bottom w:val="none" w:sz="0" w:space="0" w:color="auto"/>
        <w:right w:val="none" w:sz="0" w:space="0" w:color="auto"/>
      </w:divBdr>
    </w:div>
    <w:div w:id="463542285">
      <w:bodyDiv w:val="1"/>
      <w:marLeft w:val="0"/>
      <w:marRight w:val="0"/>
      <w:marTop w:val="0"/>
      <w:marBottom w:val="0"/>
      <w:divBdr>
        <w:top w:val="none" w:sz="0" w:space="0" w:color="auto"/>
        <w:left w:val="none" w:sz="0" w:space="0" w:color="auto"/>
        <w:bottom w:val="none" w:sz="0" w:space="0" w:color="auto"/>
        <w:right w:val="none" w:sz="0" w:space="0" w:color="auto"/>
      </w:divBdr>
    </w:div>
    <w:div w:id="476267071">
      <w:bodyDiv w:val="1"/>
      <w:marLeft w:val="0"/>
      <w:marRight w:val="0"/>
      <w:marTop w:val="0"/>
      <w:marBottom w:val="0"/>
      <w:divBdr>
        <w:top w:val="none" w:sz="0" w:space="0" w:color="auto"/>
        <w:left w:val="none" w:sz="0" w:space="0" w:color="auto"/>
        <w:bottom w:val="none" w:sz="0" w:space="0" w:color="auto"/>
        <w:right w:val="none" w:sz="0" w:space="0" w:color="auto"/>
      </w:divBdr>
    </w:div>
    <w:div w:id="484055902">
      <w:bodyDiv w:val="1"/>
      <w:marLeft w:val="0"/>
      <w:marRight w:val="0"/>
      <w:marTop w:val="0"/>
      <w:marBottom w:val="0"/>
      <w:divBdr>
        <w:top w:val="none" w:sz="0" w:space="0" w:color="auto"/>
        <w:left w:val="none" w:sz="0" w:space="0" w:color="auto"/>
        <w:bottom w:val="none" w:sz="0" w:space="0" w:color="auto"/>
        <w:right w:val="none" w:sz="0" w:space="0" w:color="auto"/>
      </w:divBdr>
    </w:div>
    <w:div w:id="530411547">
      <w:bodyDiv w:val="1"/>
      <w:marLeft w:val="0"/>
      <w:marRight w:val="0"/>
      <w:marTop w:val="0"/>
      <w:marBottom w:val="0"/>
      <w:divBdr>
        <w:top w:val="none" w:sz="0" w:space="0" w:color="auto"/>
        <w:left w:val="none" w:sz="0" w:space="0" w:color="auto"/>
        <w:bottom w:val="none" w:sz="0" w:space="0" w:color="auto"/>
        <w:right w:val="none" w:sz="0" w:space="0" w:color="auto"/>
      </w:divBdr>
    </w:div>
    <w:div w:id="547568291">
      <w:bodyDiv w:val="1"/>
      <w:marLeft w:val="0"/>
      <w:marRight w:val="0"/>
      <w:marTop w:val="0"/>
      <w:marBottom w:val="0"/>
      <w:divBdr>
        <w:top w:val="none" w:sz="0" w:space="0" w:color="auto"/>
        <w:left w:val="none" w:sz="0" w:space="0" w:color="auto"/>
        <w:bottom w:val="none" w:sz="0" w:space="0" w:color="auto"/>
        <w:right w:val="none" w:sz="0" w:space="0" w:color="auto"/>
      </w:divBdr>
    </w:div>
    <w:div w:id="547842238">
      <w:bodyDiv w:val="1"/>
      <w:marLeft w:val="0"/>
      <w:marRight w:val="0"/>
      <w:marTop w:val="0"/>
      <w:marBottom w:val="0"/>
      <w:divBdr>
        <w:top w:val="none" w:sz="0" w:space="0" w:color="auto"/>
        <w:left w:val="none" w:sz="0" w:space="0" w:color="auto"/>
        <w:bottom w:val="none" w:sz="0" w:space="0" w:color="auto"/>
        <w:right w:val="none" w:sz="0" w:space="0" w:color="auto"/>
      </w:divBdr>
    </w:div>
    <w:div w:id="549154039">
      <w:bodyDiv w:val="1"/>
      <w:marLeft w:val="0"/>
      <w:marRight w:val="0"/>
      <w:marTop w:val="0"/>
      <w:marBottom w:val="0"/>
      <w:divBdr>
        <w:top w:val="none" w:sz="0" w:space="0" w:color="auto"/>
        <w:left w:val="none" w:sz="0" w:space="0" w:color="auto"/>
        <w:bottom w:val="none" w:sz="0" w:space="0" w:color="auto"/>
        <w:right w:val="none" w:sz="0" w:space="0" w:color="auto"/>
      </w:divBdr>
    </w:div>
    <w:div w:id="549535283">
      <w:bodyDiv w:val="1"/>
      <w:marLeft w:val="0"/>
      <w:marRight w:val="0"/>
      <w:marTop w:val="0"/>
      <w:marBottom w:val="0"/>
      <w:divBdr>
        <w:top w:val="none" w:sz="0" w:space="0" w:color="auto"/>
        <w:left w:val="none" w:sz="0" w:space="0" w:color="auto"/>
        <w:bottom w:val="none" w:sz="0" w:space="0" w:color="auto"/>
        <w:right w:val="none" w:sz="0" w:space="0" w:color="auto"/>
      </w:divBdr>
    </w:div>
    <w:div w:id="552739723">
      <w:bodyDiv w:val="1"/>
      <w:marLeft w:val="0"/>
      <w:marRight w:val="0"/>
      <w:marTop w:val="0"/>
      <w:marBottom w:val="0"/>
      <w:divBdr>
        <w:top w:val="none" w:sz="0" w:space="0" w:color="auto"/>
        <w:left w:val="none" w:sz="0" w:space="0" w:color="auto"/>
        <w:bottom w:val="none" w:sz="0" w:space="0" w:color="auto"/>
        <w:right w:val="none" w:sz="0" w:space="0" w:color="auto"/>
      </w:divBdr>
    </w:div>
    <w:div w:id="573128523">
      <w:bodyDiv w:val="1"/>
      <w:marLeft w:val="0"/>
      <w:marRight w:val="0"/>
      <w:marTop w:val="0"/>
      <w:marBottom w:val="0"/>
      <w:divBdr>
        <w:top w:val="none" w:sz="0" w:space="0" w:color="auto"/>
        <w:left w:val="none" w:sz="0" w:space="0" w:color="auto"/>
        <w:bottom w:val="none" w:sz="0" w:space="0" w:color="auto"/>
        <w:right w:val="none" w:sz="0" w:space="0" w:color="auto"/>
      </w:divBdr>
    </w:div>
    <w:div w:id="589824274">
      <w:bodyDiv w:val="1"/>
      <w:marLeft w:val="0"/>
      <w:marRight w:val="0"/>
      <w:marTop w:val="0"/>
      <w:marBottom w:val="0"/>
      <w:divBdr>
        <w:top w:val="none" w:sz="0" w:space="0" w:color="auto"/>
        <w:left w:val="none" w:sz="0" w:space="0" w:color="auto"/>
        <w:bottom w:val="none" w:sz="0" w:space="0" w:color="auto"/>
        <w:right w:val="none" w:sz="0" w:space="0" w:color="auto"/>
      </w:divBdr>
    </w:div>
    <w:div w:id="596016687">
      <w:bodyDiv w:val="1"/>
      <w:marLeft w:val="0"/>
      <w:marRight w:val="0"/>
      <w:marTop w:val="0"/>
      <w:marBottom w:val="0"/>
      <w:divBdr>
        <w:top w:val="none" w:sz="0" w:space="0" w:color="auto"/>
        <w:left w:val="none" w:sz="0" w:space="0" w:color="auto"/>
        <w:bottom w:val="none" w:sz="0" w:space="0" w:color="auto"/>
        <w:right w:val="none" w:sz="0" w:space="0" w:color="auto"/>
      </w:divBdr>
    </w:div>
    <w:div w:id="619842698">
      <w:bodyDiv w:val="1"/>
      <w:marLeft w:val="0"/>
      <w:marRight w:val="0"/>
      <w:marTop w:val="0"/>
      <w:marBottom w:val="0"/>
      <w:divBdr>
        <w:top w:val="none" w:sz="0" w:space="0" w:color="auto"/>
        <w:left w:val="none" w:sz="0" w:space="0" w:color="auto"/>
        <w:bottom w:val="none" w:sz="0" w:space="0" w:color="auto"/>
        <w:right w:val="none" w:sz="0" w:space="0" w:color="auto"/>
      </w:divBdr>
    </w:div>
    <w:div w:id="623542092">
      <w:bodyDiv w:val="1"/>
      <w:marLeft w:val="0"/>
      <w:marRight w:val="0"/>
      <w:marTop w:val="0"/>
      <w:marBottom w:val="0"/>
      <w:divBdr>
        <w:top w:val="none" w:sz="0" w:space="0" w:color="auto"/>
        <w:left w:val="none" w:sz="0" w:space="0" w:color="auto"/>
        <w:bottom w:val="none" w:sz="0" w:space="0" w:color="auto"/>
        <w:right w:val="none" w:sz="0" w:space="0" w:color="auto"/>
      </w:divBdr>
    </w:div>
    <w:div w:id="640499313">
      <w:bodyDiv w:val="1"/>
      <w:marLeft w:val="0"/>
      <w:marRight w:val="0"/>
      <w:marTop w:val="0"/>
      <w:marBottom w:val="0"/>
      <w:divBdr>
        <w:top w:val="none" w:sz="0" w:space="0" w:color="auto"/>
        <w:left w:val="none" w:sz="0" w:space="0" w:color="auto"/>
        <w:bottom w:val="none" w:sz="0" w:space="0" w:color="auto"/>
        <w:right w:val="none" w:sz="0" w:space="0" w:color="auto"/>
      </w:divBdr>
    </w:div>
    <w:div w:id="671178842">
      <w:bodyDiv w:val="1"/>
      <w:marLeft w:val="0"/>
      <w:marRight w:val="0"/>
      <w:marTop w:val="0"/>
      <w:marBottom w:val="0"/>
      <w:divBdr>
        <w:top w:val="none" w:sz="0" w:space="0" w:color="auto"/>
        <w:left w:val="none" w:sz="0" w:space="0" w:color="auto"/>
        <w:bottom w:val="none" w:sz="0" w:space="0" w:color="auto"/>
        <w:right w:val="none" w:sz="0" w:space="0" w:color="auto"/>
      </w:divBdr>
    </w:div>
    <w:div w:id="699089385">
      <w:bodyDiv w:val="1"/>
      <w:marLeft w:val="0"/>
      <w:marRight w:val="0"/>
      <w:marTop w:val="0"/>
      <w:marBottom w:val="0"/>
      <w:divBdr>
        <w:top w:val="none" w:sz="0" w:space="0" w:color="auto"/>
        <w:left w:val="none" w:sz="0" w:space="0" w:color="auto"/>
        <w:bottom w:val="none" w:sz="0" w:space="0" w:color="auto"/>
        <w:right w:val="none" w:sz="0" w:space="0" w:color="auto"/>
      </w:divBdr>
    </w:div>
    <w:div w:id="700514306">
      <w:bodyDiv w:val="1"/>
      <w:marLeft w:val="0"/>
      <w:marRight w:val="0"/>
      <w:marTop w:val="0"/>
      <w:marBottom w:val="0"/>
      <w:divBdr>
        <w:top w:val="none" w:sz="0" w:space="0" w:color="auto"/>
        <w:left w:val="none" w:sz="0" w:space="0" w:color="auto"/>
        <w:bottom w:val="none" w:sz="0" w:space="0" w:color="auto"/>
        <w:right w:val="none" w:sz="0" w:space="0" w:color="auto"/>
      </w:divBdr>
    </w:div>
    <w:div w:id="700859512">
      <w:bodyDiv w:val="1"/>
      <w:marLeft w:val="0"/>
      <w:marRight w:val="0"/>
      <w:marTop w:val="0"/>
      <w:marBottom w:val="0"/>
      <w:divBdr>
        <w:top w:val="none" w:sz="0" w:space="0" w:color="auto"/>
        <w:left w:val="none" w:sz="0" w:space="0" w:color="auto"/>
        <w:bottom w:val="none" w:sz="0" w:space="0" w:color="auto"/>
        <w:right w:val="none" w:sz="0" w:space="0" w:color="auto"/>
      </w:divBdr>
    </w:div>
    <w:div w:id="707996470">
      <w:bodyDiv w:val="1"/>
      <w:marLeft w:val="0"/>
      <w:marRight w:val="0"/>
      <w:marTop w:val="0"/>
      <w:marBottom w:val="0"/>
      <w:divBdr>
        <w:top w:val="none" w:sz="0" w:space="0" w:color="auto"/>
        <w:left w:val="none" w:sz="0" w:space="0" w:color="auto"/>
        <w:bottom w:val="none" w:sz="0" w:space="0" w:color="auto"/>
        <w:right w:val="none" w:sz="0" w:space="0" w:color="auto"/>
      </w:divBdr>
    </w:div>
    <w:div w:id="711923763">
      <w:bodyDiv w:val="1"/>
      <w:marLeft w:val="0"/>
      <w:marRight w:val="0"/>
      <w:marTop w:val="0"/>
      <w:marBottom w:val="0"/>
      <w:divBdr>
        <w:top w:val="none" w:sz="0" w:space="0" w:color="auto"/>
        <w:left w:val="none" w:sz="0" w:space="0" w:color="auto"/>
        <w:bottom w:val="none" w:sz="0" w:space="0" w:color="auto"/>
        <w:right w:val="none" w:sz="0" w:space="0" w:color="auto"/>
      </w:divBdr>
    </w:div>
    <w:div w:id="719744892">
      <w:bodyDiv w:val="1"/>
      <w:marLeft w:val="0"/>
      <w:marRight w:val="0"/>
      <w:marTop w:val="0"/>
      <w:marBottom w:val="0"/>
      <w:divBdr>
        <w:top w:val="none" w:sz="0" w:space="0" w:color="auto"/>
        <w:left w:val="none" w:sz="0" w:space="0" w:color="auto"/>
        <w:bottom w:val="none" w:sz="0" w:space="0" w:color="auto"/>
        <w:right w:val="none" w:sz="0" w:space="0" w:color="auto"/>
      </w:divBdr>
    </w:div>
    <w:div w:id="721708857">
      <w:bodyDiv w:val="1"/>
      <w:marLeft w:val="0"/>
      <w:marRight w:val="0"/>
      <w:marTop w:val="0"/>
      <w:marBottom w:val="0"/>
      <w:divBdr>
        <w:top w:val="none" w:sz="0" w:space="0" w:color="auto"/>
        <w:left w:val="none" w:sz="0" w:space="0" w:color="auto"/>
        <w:bottom w:val="none" w:sz="0" w:space="0" w:color="auto"/>
        <w:right w:val="none" w:sz="0" w:space="0" w:color="auto"/>
      </w:divBdr>
    </w:div>
    <w:div w:id="722021169">
      <w:bodyDiv w:val="1"/>
      <w:marLeft w:val="0"/>
      <w:marRight w:val="0"/>
      <w:marTop w:val="0"/>
      <w:marBottom w:val="0"/>
      <w:divBdr>
        <w:top w:val="none" w:sz="0" w:space="0" w:color="auto"/>
        <w:left w:val="none" w:sz="0" w:space="0" w:color="auto"/>
        <w:bottom w:val="none" w:sz="0" w:space="0" w:color="auto"/>
        <w:right w:val="none" w:sz="0" w:space="0" w:color="auto"/>
      </w:divBdr>
    </w:div>
    <w:div w:id="725884288">
      <w:bodyDiv w:val="1"/>
      <w:marLeft w:val="0"/>
      <w:marRight w:val="0"/>
      <w:marTop w:val="0"/>
      <w:marBottom w:val="0"/>
      <w:divBdr>
        <w:top w:val="none" w:sz="0" w:space="0" w:color="auto"/>
        <w:left w:val="none" w:sz="0" w:space="0" w:color="auto"/>
        <w:bottom w:val="none" w:sz="0" w:space="0" w:color="auto"/>
        <w:right w:val="none" w:sz="0" w:space="0" w:color="auto"/>
      </w:divBdr>
    </w:div>
    <w:div w:id="745108511">
      <w:bodyDiv w:val="1"/>
      <w:marLeft w:val="0"/>
      <w:marRight w:val="0"/>
      <w:marTop w:val="0"/>
      <w:marBottom w:val="0"/>
      <w:divBdr>
        <w:top w:val="none" w:sz="0" w:space="0" w:color="auto"/>
        <w:left w:val="none" w:sz="0" w:space="0" w:color="auto"/>
        <w:bottom w:val="none" w:sz="0" w:space="0" w:color="auto"/>
        <w:right w:val="none" w:sz="0" w:space="0" w:color="auto"/>
      </w:divBdr>
    </w:div>
    <w:div w:id="749041559">
      <w:bodyDiv w:val="1"/>
      <w:marLeft w:val="0"/>
      <w:marRight w:val="0"/>
      <w:marTop w:val="0"/>
      <w:marBottom w:val="0"/>
      <w:divBdr>
        <w:top w:val="none" w:sz="0" w:space="0" w:color="auto"/>
        <w:left w:val="none" w:sz="0" w:space="0" w:color="auto"/>
        <w:bottom w:val="none" w:sz="0" w:space="0" w:color="auto"/>
        <w:right w:val="none" w:sz="0" w:space="0" w:color="auto"/>
      </w:divBdr>
    </w:div>
    <w:div w:id="786696785">
      <w:bodyDiv w:val="1"/>
      <w:marLeft w:val="0"/>
      <w:marRight w:val="0"/>
      <w:marTop w:val="0"/>
      <w:marBottom w:val="0"/>
      <w:divBdr>
        <w:top w:val="none" w:sz="0" w:space="0" w:color="auto"/>
        <w:left w:val="none" w:sz="0" w:space="0" w:color="auto"/>
        <w:bottom w:val="none" w:sz="0" w:space="0" w:color="auto"/>
        <w:right w:val="none" w:sz="0" w:space="0" w:color="auto"/>
      </w:divBdr>
    </w:div>
    <w:div w:id="801657638">
      <w:bodyDiv w:val="1"/>
      <w:marLeft w:val="0"/>
      <w:marRight w:val="0"/>
      <w:marTop w:val="0"/>
      <w:marBottom w:val="0"/>
      <w:divBdr>
        <w:top w:val="none" w:sz="0" w:space="0" w:color="auto"/>
        <w:left w:val="none" w:sz="0" w:space="0" w:color="auto"/>
        <w:bottom w:val="none" w:sz="0" w:space="0" w:color="auto"/>
        <w:right w:val="none" w:sz="0" w:space="0" w:color="auto"/>
      </w:divBdr>
    </w:div>
    <w:div w:id="813910257">
      <w:bodyDiv w:val="1"/>
      <w:marLeft w:val="0"/>
      <w:marRight w:val="0"/>
      <w:marTop w:val="0"/>
      <w:marBottom w:val="0"/>
      <w:divBdr>
        <w:top w:val="none" w:sz="0" w:space="0" w:color="auto"/>
        <w:left w:val="none" w:sz="0" w:space="0" w:color="auto"/>
        <w:bottom w:val="none" w:sz="0" w:space="0" w:color="auto"/>
        <w:right w:val="none" w:sz="0" w:space="0" w:color="auto"/>
      </w:divBdr>
    </w:div>
    <w:div w:id="816995268">
      <w:bodyDiv w:val="1"/>
      <w:marLeft w:val="0"/>
      <w:marRight w:val="0"/>
      <w:marTop w:val="0"/>
      <w:marBottom w:val="0"/>
      <w:divBdr>
        <w:top w:val="none" w:sz="0" w:space="0" w:color="auto"/>
        <w:left w:val="none" w:sz="0" w:space="0" w:color="auto"/>
        <w:bottom w:val="none" w:sz="0" w:space="0" w:color="auto"/>
        <w:right w:val="none" w:sz="0" w:space="0" w:color="auto"/>
      </w:divBdr>
    </w:div>
    <w:div w:id="857473338">
      <w:bodyDiv w:val="1"/>
      <w:marLeft w:val="0"/>
      <w:marRight w:val="0"/>
      <w:marTop w:val="0"/>
      <w:marBottom w:val="0"/>
      <w:divBdr>
        <w:top w:val="none" w:sz="0" w:space="0" w:color="auto"/>
        <w:left w:val="none" w:sz="0" w:space="0" w:color="auto"/>
        <w:bottom w:val="none" w:sz="0" w:space="0" w:color="auto"/>
        <w:right w:val="none" w:sz="0" w:space="0" w:color="auto"/>
      </w:divBdr>
    </w:div>
    <w:div w:id="860972194">
      <w:bodyDiv w:val="1"/>
      <w:marLeft w:val="0"/>
      <w:marRight w:val="0"/>
      <w:marTop w:val="0"/>
      <w:marBottom w:val="0"/>
      <w:divBdr>
        <w:top w:val="none" w:sz="0" w:space="0" w:color="auto"/>
        <w:left w:val="none" w:sz="0" w:space="0" w:color="auto"/>
        <w:bottom w:val="none" w:sz="0" w:space="0" w:color="auto"/>
        <w:right w:val="none" w:sz="0" w:space="0" w:color="auto"/>
      </w:divBdr>
    </w:div>
    <w:div w:id="865481777">
      <w:bodyDiv w:val="1"/>
      <w:marLeft w:val="0"/>
      <w:marRight w:val="0"/>
      <w:marTop w:val="0"/>
      <w:marBottom w:val="0"/>
      <w:divBdr>
        <w:top w:val="none" w:sz="0" w:space="0" w:color="auto"/>
        <w:left w:val="none" w:sz="0" w:space="0" w:color="auto"/>
        <w:bottom w:val="none" w:sz="0" w:space="0" w:color="auto"/>
        <w:right w:val="none" w:sz="0" w:space="0" w:color="auto"/>
      </w:divBdr>
    </w:div>
    <w:div w:id="868641260">
      <w:bodyDiv w:val="1"/>
      <w:marLeft w:val="0"/>
      <w:marRight w:val="0"/>
      <w:marTop w:val="0"/>
      <w:marBottom w:val="0"/>
      <w:divBdr>
        <w:top w:val="none" w:sz="0" w:space="0" w:color="auto"/>
        <w:left w:val="none" w:sz="0" w:space="0" w:color="auto"/>
        <w:bottom w:val="none" w:sz="0" w:space="0" w:color="auto"/>
        <w:right w:val="none" w:sz="0" w:space="0" w:color="auto"/>
      </w:divBdr>
    </w:div>
    <w:div w:id="872692650">
      <w:bodyDiv w:val="1"/>
      <w:marLeft w:val="0"/>
      <w:marRight w:val="0"/>
      <w:marTop w:val="0"/>
      <w:marBottom w:val="0"/>
      <w:divBdr>
        <w:top w:val="none" w:sz="0" w:space="0" w:color="auto"/>
        <w:left w:val="none" w:sz="0" w:space="0" w:color="auto"/>
        <w:bottom w:val="none" w:sz="0" w:space="0" w:color="auto"/>
        <w:right w:val="none" w:sz="0" w:space="0" w:color="auto"/>
      </w:divBdr>
    </w:div>
    <w:div w:id="882790227">
      <w:bodyDiv w:val="1"/>
      <w:marLeft w:val="0"/>
      <w:marRight w:val="0"/>
      <w:marTop w:val="0"/>
      <w:marBottom w:val="0"/>
      <w:divBdr>
        <w:top w:val="none" w:sz="0" w:space="0" w:color="auto"/>
        <w:left w:val="none" w:sz="0" w:space="0" w:color="auto"/>
        <w:bottom w:val="none" w:sz="0" w:space="0" w:color="auto"/>
        <w:right w:val="none" w:sz="0" w:space="0" w:color="auto"/>
      </w:divBdr>
    </w:div>
    <w:div w:id="882982482">
      <w:bodyDiv w:val="1"/>
      <w:marLeft w:val="0"/>
      <w:marRight w:val="0"/>
      <w:marTop w:val="0"/>
      <w:marBottom w:val="0"/>
      <w:divBdr>
        <w:top w:val="none" w:sz="0" w:space="0" w:color="auto"/>
        <w:left w:val="none" w:sz="0" w:space="0" w:color="auto"/>
        <w:bottom w:val="none" w:sz="0" w:space="0" w:color="auto"/>
        <w:right w:val="none" w:sz="0" w:space="0" w:color="auto"/>
      </w:divBdr>
    </w:div>
    <w:div w:id="893392443">
      <w:bodyDiv w:val="1"/>
      <w:marLeft w:val="0"/>
      <w:marRight w:val="0"/>
      <w:marTop w:val="0"/>
      <w:marBottom w:val="0"/>
      <w:divBdr>
        <w:top w:val="none" w:sz="0" w:space="0" w:color="auto"/>
        <w:left w:val="none" w:sz="0" w:space="0" w:color="auto"/>
        <w:bottom w:val="none" w:sz="0" w:space="0" w:color="auto"/>
        <w:right w:val="none" w:sz="0" w:space="0" w:color="auto"/>
      </w:divBdr>
    </w:div>
    <w:div w:id="914555592">
      <w:bodyDiv w:val="1"/>
      <w:marLeft w:val="0"/>
      <w:marRight w:val="0"/>
      <w:marTop w:val="0"/>
      <w:marBottom w:val="0"/>
      <w:divBdr>
        <w:top w:val="none" w:sz="0" w:space="0" w:color="auto"/>
        <w:left w:val="none" w:sz="0" w:space="0" w:color="auto"/>
        <w:bottom w:val="none" w:sz="0" w:space="0" w:color="auto"/>
        <w:right w:val="none" w:sz="0" w:space="0" w:color="auto"/>
      </w:divBdr>
    </w:div>
    <w:div w:id="950478957">
      <w:bodyDiv w:val="1"/>
      <w:marLeft w:val="0"/>
      <w:marRight w:val="0"/>
      <w:marTop w:val="0"/>
      <w:marBottom w:val="0"/>
      <w:divBdr>
        <w:top w:val="none" w:sz="0" w:space="0" w:color="auto"/>
        <w:left w:val="none" w:sz="0" w:space="0" w:color="auto"/>
        <w:bottom w:val="none" w:sz="0" w:space="0" w:color="auto"/>
        <w:right w:val="none" w:sz="0" w:space="0" w:color="auto"/>
      </w:divBdr>
    </w:div>
    <w:div w:id="983390582">
      <w:bodyDiv w:val="1"/>
      <w:marLeft w:val="0"/>
      <w:marRight w:val="0"/>
      <w:marTop w:val="0"/>
      <w:marBottom w:val="0"/>
      <w:divBdr>
        <w:top w:val="none" w:sz="0" w:space="0" w:color="auto"/>
        <w:left w:val="none" w:sz="0" w:space="0" w:color="auto"/>
        <w:bottom w:val="none" w:sz="0" w:space="0" w:color="auto"/>
        <w:right w:val="none" w:sz="0" w:space="0" w:color="auto"/>
      </w:divBdr>
    </w:div>
    <w:div w:id="995887009">
      <w:bodyDiv w:val="1"/>
      <w:marLeft w:val="0"/>
      <w:marRight w:val="0"/>
      <w:marTop w:val="0"/>
      <w:marBottom w:val="0"/>
      <w:divBdr>
        <w:top w:val="none" w:sz="0" w:space="0" w:color="auto"/>
        <w:left w:val="none" w:sz="0" w:space="0" w:color="auto"/>
        <w:bottom w:val="none" w:sz="0" w:space="0" w:color="auto"/>
        <w:right w:val="none" w:sz="0" w:space="0" w:color="auto"/>
      </w:divBdr>
    </w:div>
    <w:div w:id="997146191">
      <w:bodyDiv w:val="1"/>
      <w:marLeft w:val="0"/>
      <w:marRight w:val="0"/>
      <w:marTop w:val="0"/>
      <w:marBottom w:val="0"/>
      <w:divBdr>
        <w:top w:val="none" w:sz="0" w:space="0" w:color="auto"/>
        <w:left w:val="none" w:sz="0" w:space="0" w:color="auto"/>
        <w:bottom w:val="none" w:sz="0" w:space="0" w:color="auto"/>
        <w:right w:val="none" w:sz="0" w:space="0" w:color="auto"/>
      </w:divBdr>
    </w:div>
    <w:div w:id="997196158">
      <w:bodyDiv w:val="1"/>
      <w:marLeft w:val="0"/>
      <w:marRight w:val="0"/>
      <w:marTop w:val="0"/>
      <w:marBottom w:val="0"/>
      <w:divBdr>
        <w:top w:val="none" w:sz="0" w:space="0" w:color="auto"/>
        <w:left w:val="none" w:sz="0" w:space="0" w:color="auto"/>
        <w:bottom w:val="none" w:sz="0" w:space="0" w:color="auto"/>
        <w:right w:val="none" w:sz="0" w:space="0" w:color="auto"/>
      </w:divBdr>
    </w:div>
    <w:div w:id="999309803">
      <w:bodyDiv w:val="1"/>
      <w:marLeft w:val="0"/>
      <w:marRight w:val="0"/>
      <w:marTop w:val="0"/>
      <w:marBottom w:val="0"/>
      <w:divBdr>
        <w:top w:val="none" w:sz="0" w:space="0" w:color="auto"/>
        <w:left w:val="none" w:sz="0" w:space="0" w:color="auto"/>
        <w:bottom w:val="none" w:sz="0" w:space="0" w:color="auto"/>
        <w:right w:val="none" w:sz="0" w:space="0" w:color="auto"/>
      </w:divBdr>
    </w:div>
    <w:div w:id="1001084152">
      <w:bodyDiv w:val="1"/>
      <w:marLeft w:val="0"/>
      <w:marRight w:val="0"/>
      <w:marTop w:val="0"/>
      <w:marBottom w:val="0"/>
      <w:divBdr>
        <w:top w:val="none" w:sz="0" w:space="0" w:color="auto"/>
        <w:left w:val="none" w:sz="0" w:space="0" w:color="auto"/>
        <w:bottom w:val="none" w:sz="0" w:space="0" w:color="auto"/>
        <w:right w:val="none" w:sz="0" w:space="0" w:color="auto"/>
      </w:divBdr>
    </w:div>
    <w:div w:id="1001666582">
      <w:bodyDiv w:val="1"/>
      <w:marLeft w:val="0"/>
      <w:marRight w:val="0"/>
      <w:marTop w:val="0"/>
      <w:marBottom w:val="0"/>
      <w:divBdr>
        <w:top w:val="none" w:sz="0" w:space="0" w:color="auto"/>
        <w:left w:val="none" w:sz="0" w:space="0" w:color="auto"/>
        <w:bottom w:val="none" w:sz="0" w:space="0" w:color="auto"/>
        <w:right w:val="none" w:sz="0" w:space="0" w:color="auto"/>
      </w:divBdr>
    </w:div>
    <w:div w:id="1053625083">
      <w:bodyDiv w:val="1"/>
      <w:marLeft w:val="0"/>
      <w:marRight w:val="0"/>
      <w:marTop w:val="0"/>
      <w:marBottom w:val="0"/>
      <w:divBdr>
        <w:top w:val="none" w:sz="0" w:space="0" w:color="auto"/>
        <w:left w:val="none" w:sz="0" w:space="0" w:color="auto"/>
        <w:bottom w:val="none" w:sz="0" w:space="0" w:color="auto"/>
        <w:right w:val="none" w:sz="0" w:space="0" w:color="auto"/>
      </w:divBdr>
    </w:div>
    <w:div w:id="1056975937">
      <w:bodyDiv w:val="1"/>
      <w:marLeft w:val="0"/>
      <w:marRight w:val="0"/>
      <w:marTop w:val="0"/>
      <w:marBottom w:val="0"/>
      <w:divBdr>
        <w:top w:val="none" w:sz="0" w:space="0" w:color="auto"/>
        <w:left w:val="none" w:sz="0" w:space="0" w:color="auto"/>
        <w:bottom w:val="none" w:sz="0" w:space="0" w:color="auto"/>
        <w:right w:val="none" w:sz="0" w:space="0" w:color="auto"/>
      </w:divBdr>
    </w:div>
    <w:div w:id="1066955727">
      <w:bodyDiv w:val="1"/>
      <w:marLeft w:val="0"/>
      <w:marRight w:val="0"/>
      <w:marTop w:val="0"/>
      <w:marBottom w:val="0"/>
      <w:divBdr>
        <w:top w:val="none" w:sz="0" w:space="0" w:color="auto"/>
        <w:left w:val="none" w:sz="0" w:space="0" w:color="auto"/>
        <w:bottom w:val="none" w:sz="0" w:space="0" w:color="auto"/>
        <w:right w:val="none" w:sz="0" w:space="0" w:color="auto"/>
      </w:divBdr>
    </w:div>
    <w:div w:id="1083333358">
      <w:bodyDiv w:val="1"/>
      <w:marLeft w:val="0"/>
      <w:marRight w:val="0"/>
      <w:marTop w:val="0"/>
      <w:marBottom w:val="0"/>
      <w:divBdr>
        <w:top w:val="none" w:sz="0" w:space="0" w:color="auto"/>
        <w:left w:val="none" w:sz="0" w:space="0" w:color="auto"/>
        <w:bottom w:val="none" w:sz="0" w:space="0" w:color="auto"/>
        <w:right w:val="none" w:sz="0" w:space="0" w:color="auto"/>
      </w:divBdr>
    </w:div>
    <w:div w:id="1088118869">
      <w:bodyDiv w:val="1"/>
      <w:marLeft w:val="0"/>
      <w:marRight w:val="0"/>
      <w:marTop w:val="0"/>
      <w:marBottom w:val="0"/>
      <w:divBdr>
        <w:top w:val="none" w:sz="0" w:space="0" w:color="auto"/>
        <w:left w:val="none" w:sz="0" w:space="0" w:color="auto"/>
        <w:bottom w:val="none" w:sz="0" w:space="0" w:color="auto"/>
        <w:right w:val="none" w:sz="0" w:space="0" w:color="auto"/>
      </w:divBdr>
    </w:div>
    <w:div w:id="1112092037">
      <w:bodyDiv w:val="1"/>
      <w:marLeft w:val="0"/>
      <w:marRight w:val="0"/>
      <w:marTop w:val="0"/>
      <w:marBottom w:val="0"/>
      <w:divBdr>
        <w:top w:val="none" w:sz="0" w:space="0" w:color="auto"/>
        <w:left w:val="none" w:sz="0" w:space="0" w:color="auto"/>
        <w:bottom w:val="none" w:sz="0" w:space="0" w:color="auto"/>
        <w:right w:val="none" w:sz="0" w:space="0" w:color="auto"/>
      </w:divBdr>
    </w:div>
    <w:div w:id="1128013269">
      <w:bodyDiv w:val="1"/>
      <w:marLeft w:val="0"/>
      <w:marRight w:val="0"/>
      <w:marTop w:val="0"/>
      <w:marBottom w:val="0"/>
      <w:divBdr>
        <w:top w:val="none" w:sz="0" w:space="0" w:color="auto"/>
        <w:left w:val="none" w:sz="0" w:space="0" w:color="auto"/>
        <w:bottom w:val="none" w:sz="0" w:space="0" w:color="auto"/>
        <w:right w:val="none" w:sz="0" w:space="0" w:color="auto"/>
      </w:divBdr>
    </w:div>
    <w:div w:id="1143427391">
      <w:bodyDiv w:val="1"/>
      <w:marLeft w:val="0"/>
      <w:marRight w:val="0"/>
      <w:marTop w:val="0"/>
      <w:marBottom w:val="0"/>
      <w:divBdr>
        <w:top w:val="none" w:sz="0" w:space="0" w:color="auto"/>
        <w:left w:val="none" w:sz="0" w:space="0" w:color="auto"/>
        <w:bottom w:val="none" w:sz="0" w:space="0" w:color="auto"/>
        <w:right w:val="none" w:sz="0" w:space="0" w:color="auto"/>
      </w:divBdr>
    </w:div>
    <w:div w:id="1159274257">
      <w:bodyDiv w:val="1"/>
      <w:marLeft w:val="0"/>
      <w:marRight w:val="0"/>
      <w:marTop w:val="0"/>
      <w:marBottom w:val="0"/>
      <w:divBdr>
        <w:top w:val="none" w:sz="0" w:space="0" w:color="auto"/>
        <w:left w:val="none" w:sz="0" w:space="0" w:color="auto"/>
        <w:bottom w:val="none" w:sz="0" w:space="0" w:color="auto"/>
        <w:right w:val="none" w:sz="0" w:space="0" w:color="auto"/>
      </w:divBdr>
    </w:div>
    <w:div w:id="1170025628">
      <w:bodyDiv w:val="1"/>
      <w:marLeft w:val="0"/>
      <w:marRight w:val="0"/>
      <w:marTop w:val="0"/>
      <w:marBottom w:val="0"/>
      <w:divBdr>
        <w:top w:val="none" w:sz="0" w:space="0" w:color="auto"/>
        <w:left w:val="none" w:sz="0" w:space="0" w:color="auto"/>
        <w:bottom w:val="none" w:sz="0" w:space="0" w:color="auto"/>
        <w:right w:val="none" w:sz="0" w:space="0" w:color="auto"/>
      </w:divBdr>
    </w:div>
    <w:div w:id="1192109840">
      <w:bodyDiv w:val="1"/>
      <w:marLeft w:val="0"/>
      <w:marRight w:val="0"/>
      <w:marTop w:val="0"/>
      <w:marBottom w:val="0"/>
      <w:divBdr>
        <w:top w:val="none" w:sz="0" w:space="0" w:color="auto"/>
        <w:left w:val="none" w:sz="0" w:space="0" w:color="auto"/>
        <w:bottom w:val="none" w:sz="0" w:space="0" w:color="auto"/>
        <w:right w:val="none" w:sz="0" w:space="0" w:color="auto"/>
      </w:divBdr>
    </w:div>
    <w:div w:id="1257713940">
      <w:bodyDiv w:val="1"/>
      <w:marLeft w:val="0"/>
      <w:marRight w:val="0"/>
      <w:marTop w:val="0"/>
      <w:marBottom w:val="0"/>
      <w:divBdr>
        <w:top w:val="none" w:sz="0" w:space="0" w:color="auto"/>
        <w:left w:val="none" w:sz="0" w:space="0" w:color="auto"/>
        <w:bottom w:val="none" w:sz="0" w:space="0" w:color="auto"/>
        <w:right w:val="none" w:sz="0" w:space="0" w:color="auto"/>
      </w:divBdr>
    </w:div>
    <w:div w:id="1265113377">
      <w:bodyDiv w:val="1"/>
      <w:marLeft w:val="0"/>
      <w:marRight w:val="0"/>
      <w:marTop w:val="0"/>
      <w:marBottom w:val="0"/>
      <w:divBdr>
        <w:top w:val="none" w:sz="0" w:space="0" w:color="auto"/>
        <w:left w:val="none" w:sz="0" w:space="0" w:color="auto"/>
        <w:bottom w:val="none" w:sz="0" w:space="0" w:color="auto"/>
        <w:right w:val="none" w:sz="0" w:space="0" w:color="auto"/>
      </w:divBdr>
    </w:div>
    <w:div w:id="1297024543">
      <w:bodyDiv w:val="1"/>
      <w:marLeft w:val="0"/>
      <w:marRight w:val="0"/>
      <w:marTop w:val="0"/>
      <w:marBottom w:val="0"/>
      <w:divBdr>
        <w:top w:val="none" w:sz="0" w:space="0" w:color="auto"/>
        <w:left w:val="none" w:sz="0" w:space="0" w:color="auto"/>
        <w:bottom w:val="none" w:sz="0" w:space="0" w:color="auto"/>
        <w:right w:val="none" w:sz="0" w:space="0" w:color="auto"/>
      </w:divBdr>
    </w:div>
    <w:div w:id="1299996151">
      <w:bodyDiv w:val="1"/>
      <w:marLeft w:val="0"/>
      <w:marRight w:val="0"/>
      <w:marTop w:val="0"/>
      <w:marBottom w:val="0"/>
      <w:divBdr>
        <w:top w:val="none" w:sz="0" w:space="0" w:color="auto"/>
        <w:left w:val="none" w:sz="0" w:space="0" w:color="auto"/>
        <w:bottom w:val="none" w:sz="0" w:space="0" w:color="auto"/>
        <w:right w:val="none" w:sz="0" w:space="0" w:color="auto"/>
      </w:divBdr>
    </w:div>
    <w:div w:id="1301036292">
      <w:bodyDiv w:val="1"/>
      <w:marLeft w:val="0"/>
      <w:marRight w:val="0"/>
      <w:marTop w:val="0"/>
      <w:marBottom w:val="0"/>
      <w:divBdr>
        <w:top w:val="none" w:sz="0" w:space="0" w:color="auto"/>
        <w:left w:val="none" w:sz="0" w:space="0" w:color="auto"/>
        <w:bottom w:val="none" w:sz="0" w:space="0" w:color="auto"/>
        <w:right w:val="none" w:sz="0" w:space="0" w:color="auto"/>
      </w:divBdr>
    </w:div>
    <w:div w:id="1320228708">
      <w:bodyDiv w:val="1"/>
      <w:marLeft w:val="0"/>
      <w:marRight w:val="0"/>
      <w:marTop w:val="0"/>
      <w:marBottom w:val="0"/>
      <w:divBdr>
        <w:top w:val="none" w:sz="0" w:space="0" w:color="auto"/>
        <w:left w:val="none" w:sz="0" w:space="0" w:color="auto"/>
        <w:bottom w:val="none" w:sz="0" w:space="0" w:color="auto"/>
        <w:right w:val="none" w:sz="0" w:space="0" w:color="auto"/>
      </w:divBdr>
    </w:div>
    <w:div w:id="1330450066">
      <w:bodyDiv w:val="1"/>
      <w:marLeft w:val="0"/>
      <w:marRight w:val="0"/>
      <w:marTop w:val="0"/>
      <w:marBottom w:val="0"/>
      <w:divBdr>
        <w:top w:val="none" w:sz="0" w:space="0" w:color="auto"/>
        <w:left w:val="none" w:sz="0" w:space="0" w:color="auto"/>
        <w:bottom w:val="none" w:sz="0" w:space="0" w:color="auto"/>
        <w:right w:val="none" w:sz="0" w:space="0" w:color="auto"/>
      </w:divBdr>
    </w:div>
    <w:div w:id="1355110386">
      <w:bodyDiv w:val="1"/>
      <w:marLeft w:val="0"/>
      <w:marRight w:val="0"/>
      <w:marTop w:val="0"/>
      <w:marBottom w:val="0"/>
      <w:divBdr>
        <w:top w:val="none" w:sz="0" w:space="0" w:color="auto"/>
        <w:left w:val="none" w:sz="0" w:space="0" w:color="auto"/>
        <w:bottom w:val="none" w:sz="0" w:space="0" w:color="auto"/>
        <w:right w:val="none" w:sz="0" w:space="0" w:color="auto"/>
      </w:divBdr>
    </w:div>
    <w:div w:id="1406099934">
      <w:bodyDiv w:val="1"/>
      <w:marLeft w:val="0"/>
      <w:marRight w:val="0"/>
      <w:marTop w:val="0"/>
      <w:marBottom w:val="0"/>
      <w:divBdr>
        <w:top w:val="none" w:sz="0" w:space="0" w:color="auto"/>
        <w:left w:val="none" w:sz="0" w:space="0" w:color="auto"/>
        <w:bottom w:val="none" w:sz="0" w:space="0" w:color="auto"/>
        <w:right w:val="none" w:sz="0" w:space="0" w:color="auto"/>
      </w:divBdr>
    </w:div>
    <w:div w:id="1407533375">
      <w:bodyDiv w:val="1"/>
      <w:marLeft w:val="0"/>
      <w:marRight w:val="0"/>
      <w:marTop w:val="0"/>
      <w:marBottom w:val="0"/>
      <w:divBdr>
        <w:top w:val="none" w:sz="0" w:space="0" w:color="auto"/>
        <w:left w:val="none" w:sz="0" w:space="0" w:color="auto"/>
        <w:bottom w:val="none" w:sz="0" w:space="0" w:color="auto"/>
        <w:right w:val="none" w:sz="0" w:space="0" w:color="auto"/>
      </w:divBdr>
    </w:div>
    <w:div w:id="1453015835">
      <w:bodyDiv w:val="1"/>
      <w:marLeft w:val="0"/>
      <w:marRight w:val="0"/>
      <w:marTop w:val="0"/>
      <w:marBottom w:val="0"/>
      <w:divBdr>
        <w:top w:val="none" w:sz="0" w:space="0" w:color="auto"/>
        <w:left w:val="none" w:sz="0" w:space="0" w:color="auto"/>
        <w:bottom w:val="none" w:sz="0" w:space="0" w:color="auto"/>
        <w:right w:val="none" w:sz="0" w:space="0" w:color="auto"/>
      </w:divBdr>
    </w:div>
    <w:div w:id="1462309312">
      <w:bodyDiv w:val="1"/>
      <w:marLeft w:val="0"/>
      <w:marRight w:val="0"/>
      <w:marTop w:val="0"/>
      <w:marBottom w:val="0"/>
      <w:divBdr>
        <w:top w:val="none" w:sz="0" w:space="0" w:color="auto"/>
        <w:left w:val="none" w:sz="0" w:space="0" w:color="auto"/>
        <w:bottom w:val="none" w:sz="0" w:space="0" w:color="auto"/>
        <w:right w:val="none" w:sz="0" w:space="0" w:color="auto"/>
      </w:divBdr>
    </w:div>
    <w:div w:id="1468083603">
      <w:bodyDiv w:val="1"/>
      <w:marLeft w:val="0"/>
      <w:marRight w:val="0"/>
      <w:marTop w:val="0"/>
      <w:marBottom w:val="0"/>
      <w:divBdr>
        <w:top w:val="none" w:sz="0" w:space="0" w:color="auto"/>
        <w:left w:val="none" w:sz="0" w:space="0" w:color="auto"/>
        <w:bottom w:val="none" w:sz="0" w:space="0" w:color="auto"/>
        <w:right w:val="none" w:sz="0" w:space="0" w:color="auto"/>
      </w:divBdr>
    </w:div>
    <w:div w:id="1486052039">
      <w:bodyDiv w:val="1"/>
      <w:marLeft w:val="0"/>
      <w:marRight w:val="0"/>
      <w:marTop w:val="0"/>
      <w:marBottom w:val="0"/>
      <w:divBdr>
        <w:top w:val="none" w:sz="0" w:space="0" w:color="auto"/>
        <w:left w:val="none" w:sz="0" w:space="0" w:color="auto"/>
        <w:bottom w:val="none" w:sz="0" w:space="0" w:color="auto"/>
        <w:right w:val="none" w:sz="0" w:space="0" w:color="auto"/>
      </w:divBdr>
    </w:div>
    <w:div w:id="1491748954">
      <w:bodyDiv w:val="1"/>
      <w:marLeft w:val="0"/>
      <w:marRight w:val="0"/>
      <w:marTop w:val="0"/>
      <w:marBottom w:val="0"/>
      <w:divBdr>
        <w:top w:val="none" w:sz="0" w:space="0" w:color="auto"/>
        <w:left w:val="none" w:sz="0" w:space="0" w:color="auto"/>
        <w:bottom w:val="none" w:sz="0" w:space="0" w:color="auto"/>
        <w:right w:val="none" w:sz="0" w:space="0" w:color="auto"/>
      </w:divBdr>
    </w:div>
    <w:div w:id="1492910386">
      <w:bodyDiv w:val="1"/>
      <w:marLeft w:val="0"/>
      <w:marRight w:val="0"/>
      <w:marTop w:val="0"/>
      <w:marBottom w:val="0"/>
      <w:divBdr>
        <w:top w:val="none" w:sz="0" w:space="0" w:color="auto"/>
        <w:left w:val="none" w:sz="0" w:space="0" w:color="auto"/>
        <w:bottom w:val="none" w:sz="0" w:space="0" w:color="auto"/>
        <w:right w:val="none" w:sz="0" w:space="0" w:color="auto"/>
      </w:divBdr>
    </w:div>
    <w:div w:id="1522892298">
      <w:bodyDiv w:val="1"/>
      <w:marLeft w:val="0"/>
      <w:marRight w:val="0"/>
      <w:marTop w:val="0"/>
      <w:marBottom w:val="0"/>
      <w:divBdr>
        <w:top w:val="none" w:sz="0" w:space="0" w:color="auto"/>
        <w:left w:val="none" w:sz="0" w:space="0" w:color="auto"/>
        <w:bottom w:val="none" w:sz="0" w:space="0" w:color="auto"/>
        <w:right w:val="none" w:sz="0" w:space="0" w:color="auto"/>
      </w:divBdr>
    </w:div>
    <w:div w:id="1532769302">
      <w:bodyDiv w:val="1"/>
      <w:marLeft w:val="0"/>
      <w:marRight w:val="0"/>
      <w:marTop w:val="0"/>
      <w:marBottom w:val="0"/>
      <w:divBdr>
        <w:top w:val="none" w:sz="0" w:space="0" w:color="auto"/>
        <w:left w:val="none" w:sz="0" w:space="0" w:color="auto"/>
        <w:bottom w:val="none" w:sz="0" w:space="0" w:color="auto"/>
        <w:right w:val="none" w:sz="0" w:space="0" w:color="auto"/>
      </w:divBdr>
    </w:div>
    <w:div w:id="1573660547">
      <w:bodyDiv w:val="1"/>
      <w:marLeft w:val="0"/>
      <w:marRight w:val="0"/>
      <w:marTop w:val="0"/>
      <w:marBottom w:val="0"/>
      <w:divBdr>
        <w:top w:val="none" w:sz="0" w:space="0" w:color="auto"/>
        <w:left w:val="none" w:sz="0" w:space="0" w:color="auto"/>
        <w:bottom w:val="none" w:sz="0" w:space="0" w:color="auto"/>
        <w:right w:val="none" w:sz="0" w:space="0" w:color="auto"/>
      </w:divBdr>
    </w:div>
    <w:div w:id="1579904402">
      <w:bodyDiv w:val="1"/>
      <w:marLeft w:val="0"/>
      <w:marRight w:val="0"/>
      <w:marTop w:val="0"/>
      <w:marBottom w:val="0"/>
      <w:divBdr>
        <w:top w:val="none" w:sz="0" w:space="0" w:color="auto"/>
        <w:left w:val="none" w:sz="0" w:space="0" w:color="auto"/>
        <w:bottom w:val="none" w:sz="0" w:space="0" w:color="auto"/>
        <w:right w:val="none" w:sz="0" w:space="0" w:color="auto"/>
      </w:divBdr>
    </w:div>
    <w:div w:id="1602836360">
      <w:bodyDiv w:val="1"/>
      <w:marLeft w:val="0"/>
      <w:marRight w:val="0"/>
      <w:marTop w:val="0"/>
      <w:marBottom w:val="0"/>
      <w:divBdr>
        <w:top w:val="none" w:sz="0" w:space="0" w:color="auto"/>
        <w:left w:val="none" w:sz="0" w:space="0" w:color="auto"/>
        <w:bottom w:val="none" w:sz="0" w:space="0" w:color="auto"/>
        <w:right w:val="none" w:sz="0" w:space="0" w:color="auto"/>
      </w:divBdr>
    </w:div>
    <w:div w:id="1613511458">
      <w:bodyDiv w:val="1"/>
      <w:marLeft w:val="0"/>
      <w:marRight w:val="0"/>
      <w:marTop w:val="0"/>
      <w:marBottom w:val="0"/>
      <w:divBdr>
        <w:top w:val="none" w:sz="0" w:space="0" w:color="auto"/>
        <w:left w:val="none" w:sz="0" w:space="0" w:color="auto"/>
        <w:bottom w:val="none" w:sz="0" w:space="0" w:color="auto"/>
        <w:right w:val="none" w:sz="0" w:space="0" w:color="auto"/>
      </w:divBdr>
    </w:div>
    <w:div w:id="1613515709">
      <w:bodyDiv w:val="1"/>
      <w:marLeft w:val="0"/>
      <w:marRight w:val="0"/>
      <w:marTop w:val="0"/>
      <w:marBottom w:val="0"/>
      <w:divBdr>
        <w:top w:val="none" w:sz="0" w:space="0" w:color="auto"/>
        <w:left w:val="none" w:sz="0" w:space="0" w:color="auto"/>
        <w:bottom w:val="none" w:sz="0" w:space="0" w:color="auto"/>
        <w:right w:val="none" w:sz="0" w:space="0" w:color="auto"/>
      </w:divBdr>
    </w:div>
    <w:div w:id="1624995391">
      <w:bodyDiv w:val="1"/>
      <w:marLeft w:val="0"/>
      <w:marRight w:val="0"/>
      <w:marTop w:val="0"/>
      <w:marBottom w:val="0"/>
      <w:divBdr>
        <w:top w:val="none" w:sz="0" w:space="0" w:color="auto"/>
        <w:left w:val="none" w:sz="0" w:space="0" w:color="auto"/>
        <w:bottom w:val="none" w:sz="0" w:space="0" w:color="auto"/>
        <w:right w:val="none" w:sz="0" w:space="0" w:color="auto"/>
      </w:divBdr>
    </w:div>
    <w:div w:id="1629970154">
      <w:bodyDiv w:val="1"/>
      <w:marLeft w:val="0"/>
      <w:marRight w:val="0"/>
      <w:marTop w:val="0"/>
      <w:marBottom w:val="0"/>
      <w:divBdr>
        <w:top w:val="none" w:sz="0" w:space="0" w:color="auto"/>
        <w:left w:val="none" w:sz="0" w:space="0" w:color="auto"/>
        <w:bottom w:val="none" w:sz="0" w:space="0" w:color="auto"/>
        <w:right w:val="none" w:sz="0" w:space="0" w:color="auto"/>
      </w:divBdr>
    </w:div>
    <w:div w:id="1637831770">
      <w:bodyDiv w:val="1"/>
      <w:marLeft w:val="0"/>
      <w:marRight w:val="0"/>
      <w:marTop w:val="0"/>
      <w:marBottom w:val="0"/>
      <w:divBdr>
        <w:top w:val="none" w:sz="0" w:space="0" w:color="auto"/>
        <w:left w:val="none" w:sz="0" w:space="0" w:color="auto"/>
        <w:bottom w:val="none" w:sz="0" w:space="0" w:color="auto"/>
        <w:right w:val="none" w:sz="0" w:space="0" w:color="auto"/>
      </w:divBdr>
    </w:div>
    <w:div w:id="1651859817">
      <w:bodyDiv w:val="1"/>
      <w:marLeft w:val="0"/>
      <w:marRight w:val="0"/>
      <w:marTop w:val="0"/>
      <w:marBottom w:val="0"/>
      <w:divBdr>
        <w:top w:val="none" w:sz="0" w:space="0" w:color="auto"/>
        <w:left w:val="none" w:sz="0" w:space="0" w:color="auto"/>
        <w:bottom w:val="none" w:sz="0" w:space="0" w:color="auto"/>
        <w:right w:val="none" w:sz="0" w:space="0" w:color="auto"/>
      </w:divBdr>
    </w:div>
    <w:div w:id="1653025763">
      <w:bodyDiv w:val="1"/>
      <w:marLeft w:val="0"/>
      <w:marRight w:val="0"/>
      <w:marTop w:val="0"/>
      <w:marBottom w:val="0"/>
      <w:divBdr>
        <w:top w:val="none" w:sz="0" w:space="0" w:color="auto"/>
        <w:left w:val="none" w:sz="0" w:space="0" w:color="auto"/>
        <w:bottom w:val="none" w:sz="0" w:space="0" w:color="auto"/>
        <w:right w:val="none" w:sz="0" w:space="0" w:color="auto"/>
      </w:divBdr>
    </w:div>
    <w:div w:id="1657028030">
      <w:bodyDiv w:val="1"/>
      <w:marLeft w:val="0"/>
      <w:marRight w:val="0"/>
      <w:marTop w:val="0"/>
      <w:marBottom w:val="0"/>
      <w:divBdr>
        <w:top w:val="none" w:sz="0" w:space="0" w:color="auto"/>
        <w:left w:val="none" w:sz="0" w:space="0" w:color="auto"/>
        <w:bottom w:val="none" w:sz="0" w:space="0" w:color="auto"/>
        <w:right w:val="none" w:sz="0" w:space="0" w:color="auto"/>
      </w:divBdr>
    </w:div>
    <w:div w:id="1668630376">
      <w:bodyDiv w:val="1"/>
      <w:marLeft w:val="0"/>
      <w:marRight w:val="0"/>
      <w:marTop w:val="0"/>
      <w:marBottom w:val="0"/>
      <w:divBdr>
        <w:top w:val="none" w:sz="0" w:space="0" w:color="auto"/>
        <w:left w:val="none" w:sz="0" w:space="0" w:color="auto"/>
        <w:bottom w:val="none" w:sz="0" w:space="0" w:color="auto"/>
        <w:right w:val="none" w:sz="0" w:space="0" w:color="auto"/>
      </w:divBdr>
    </w:div>
    <w:div w:id="1680963579">
      <w:bodyDiv w:val="1"/>
      <w:marLeft w:val="0"/>
      <w:marRight w:val="0"/>
      <w:marTop w:val="0"/>
      <w:marBottom w:val="0"/>
      <w:divBdr>
        <w:top w:val="none" w:sz="0" w:space="0" w:color="auto"/>
        <w:left w:val="none" w:sz="0" w:space="0" w:color="auto"/>
        <w:bottom w:val="none" w:sz="0" w:space="0" w:color="auto"/>
        <w:right w:val="none" w:sz="0" w:space="0" w:color="auto"/>
      </w:divBdr>
    </w:div>
    <w:div w:id="1711296139">
      <w:bodyDiv w:val="1"/>
      <w:marLeft w:val="0"/>
      <w:marRight w:val="0"/>
      <w:marTop w:val="0"/>
      <w:marBottom w:val="0"/>
      <w:divBdr>
        <w:top w:val="none" w:sz="0" w:space="0" w:color="auto"/>
        <w:left w:val="none" w:sz="0" w:space="0" w:color="auto"/>
        <w:bottom w:val="none" w:sz="0" w:space="0" w:color="auto"/>
        <w:right w:val="none" w:sz="0" w:space="0" w:color="auto"/>
      </w:divBdr>
    </w:div>
    <w:div w:id="1716271032">
      <w:bodyDiv w:val="1"/>
      <w:marLeft w:val="0"/>
      <w:marRight w:val="0"/>
      <w:marTop w:val="0"/>
      <w:marBottom w:val="0"/>
      <w:divBdr>
        <w:top w:val="none" w:sz="0" w:space="0" w:color="auto"/>
        <w:left w:val="none" w:sz="0" w:space="0" w:color="auto"/>
        <w:bottom w:val="none" w:sz="0" w:space="0" w:color="auto"/>
        <w:right w:val="none" w:sz="0" w:space="0" w:color="auto"/>
      </w:divBdr>
    </w:div>
    <w:div w:id="1718893639">
      <w:bodyDiv w:val="1"/>
      <w:marLeft w:val="0"/>
      <w:marRight w:val="0"/>
      <w:marTop w:val="0"/>
      <w:marBottom w:val="0"/>
      <w:divBdr>
        <w:top w:val="none" w:sz="0" w:space="0" w:color="auto"/>
        <w:left w:val="none" w:sz="0" w:space="0" w:color="auto"/>
        <w:bottom w:val="none" w:sz="0" w:space="0" w:color="auto"/>
        <w:right w:val="none" w:sz="0" w:space="0" w:color="auto"/>
      </w:divBdr>
    </w:div>
    <w:div w:id="1738015468">
      <w:bodyDiv w:val="1"/>
      <w:marLeft w:val="0"/>
      <w:marRight w:val="0"/>
      <w:marTop w:val="0"/>
      <w:marBottom w:val="0"/>
      <w:divBdr>
        <w:top w:val="none" w:sz="0" w:space="0" w:color="auto"/>
        <w:left w:val="none" w:sz="0" w:space="0" w:color="auto"/>
        <w:bottom w:val="none" w:sz="0" w:space="0" w:color="auto"/>
        <w:right w:val="none" w:sz="0" w:space="0" w:color="auto"/>
      </w:divBdr>
    </w:div>
    <w:div w:id="1740665622">
      <w:bodyDiv w:val="1"/>
      <w:marLeft w:val="0"/>
      <w:marRight w:val="0"/>
      <w:marTop w:val="0"/>
      <w:marBottom w:val="0"/>
      <w:divBdr>
        <w:top w:val="none" w:sz="0" w:space="0" w:color="auto"/>
        <w:left w:val="none" w:sz="0" w:space="0" w:color="auto"/>
        <w:bottom w:val="none" w:sz="0" w:space="0" w:color="auto"/>
        <w:right w:val="none" w:sz="0" w:space="0" w:color="auto"/>
      </w:divBdr>
    </w:div>
    <w:div w:id="1748185627">
      <w:bodyDiv w:val="1"/>
      <w:marLeft w:val="0"/>
      <w:marRight w:val="0"/>
      <w:marTop w:val="0"/>
      <w:marBottom w:val="0"/>
      <w:divBdr>
        <w:top w:val="none" w:sz="0" w:space="0" w:color="auto"/>
        <w:left w:val="none" w:sz="0" w:space="0" w:color="auto"/>
        <w:bottom w:val="none" w:sz="0" w:space="0" w:color="auto"/>
        <w:right w:val="none" w:sz="0" w:space="0" w:color="auto"/>
      </w:divBdr>
    </w:div>
    <w:div w:id="1757903233">
      <w:bodyDiv w:val="1"/>
      <w:marLeft w:val="0"/>
      <w:marRight w:val="0"/>
      <w:marTop w:val="0"/>
      <w:marBottom w:val="0"/>
      <w:divBdr>
        <w:top w:val="none" w:sz="0" w:space="0" w:color="auto"/>
        <w:left w:val="none" w:sz="0" w:space="0" w:color="auto"/>
        <w:bottom w:val="none" w:sz="0" w:space="0" w:color="auto"/>
        <w:right w:val="none" w:sz="0" w:space="0" w:color="auto"/>
      </w:divBdr>
    </w:div>
    <w:div w:id="1774665719">
      <w:marLeft w:val="0"/>
      <w:marRight w:val="0"/>
      <w:marTop w:val="0"/>
      <w:marBottom w:val="0"/>
      <w:divBdr>
        <w:top w:val="none" w:sz="0" w:space="0" w:color="auto"/>
        <w:left w:val="none" w:sz="0" w:space="0" w:color="auto"/>
        <w:bottom w:val="none" w:sz="0" w:space="0" w:color="auto"/>
        <w:right w:val="none" w:sz="0" w:space="0" w:color="auto"/>
      </w:divBdr>
    </w:div>
    <w:div w:id="1774665722">
      <w:marLeft w:val="0"/>
      <w:marRight w:val="0"/>
      <w:marTop w:val="0"/>
      <w:marBottom w:val="0"/>
      <w:divBdr>
        <w:top w:val="none" w:sz="0" w:space="0" w:color="auto"/>
        <w:left w:val="none" w:sz="0" w:space="0" w:color="auto"/>
        <w:bottom w:val="none" w:sz="0" w:space="0" w:color="auto"/>
        <w:right w:val="none" w:sz="0" w:space="0" w:color="auto"/>
      </w:divBdr>
    </w:div>
    <w:div w:id="1774665723">
      <w:marLeft w:val="0"/>
      <w:marRight w:val="0"/>
      <w:marTop w:val="0"/>
      <w:marBottom w:val="0"/>
      <w:divBdr>
        <w:top w:val="none" w:sz="0" w:space="0" w:color="auto"/>
        <w:left w:val="none" w:sz="0" w:space="0" w:color="auto"/>
        <w:bottom w:val="none" w:sz="0" w:space="0" w:color="auto"/>
        <w:right w:val="none" w:sz="0" w:space="0" w:color="auto"/>
      </w:divBdr>
    </w:div>
    <w:div w:id="1774665724">
      <w:marLeft w:val="0"/>
      <w:marRight w:val="0"/>
      <w:marTop w:val="0"/>
      <w:marBottom w:val="15"/>
      <w:divBdr>
        <w:top w:val="none" w:sz="0" w:space="0" w:color="auto"/>
        <w:left w:val="none" w:sz="0" w:space="0" w:color="auto"/>
        <w:bottom w:val="none" w:sz="0" w:space="0" w:color="auto"/>
        <w:right w:val="none" w:sz="0" w:space="0" w:color="auto"/>
      </w:divBdr>
      <w:divsChild>
        <w:div w:id="1774665725">
          <w:marLeft w:val="0"/>
          <w:marRight w:val="0"/>
          <w:marTop w:val="0"/>
          <w:marBottom w:val="0"/>
          <w:divBdr>
            <w:top w:val="none" w:sz="0" w:space="0" w:color="auto"/>
            <w:left w:val="none" w:sz="0" w:space="0" w:color="auto"/>
            <w:bottom w:val="none" w:sz="0" w:space="0" w:color="auto"/>
            <w:right w:val="none" w:sz="0" w:space="0" w:color="auto"/>
          </w:divBdr>
          <w:divsChild>
            <w:div w:id="1774665726">
              <w:marLeft w:val="0"/>
              <w:marRight w:val="0"/>
              <w:marTop w:val="0"/>
              <w:marBottom w:val="0"/>
              <w:divBdr>
                <w:top w:val="none" w:sz="0" w:space="0" w:color="auto"/>
                <w:left w:val="none" w:sz="0" w:space="0" w:color="auto"/>
                <w:bottom w:val="none" w:sz="0" w:space="0" w:color="auto"/>
                <w:right w:val="none" w:sz="0" w:space="0" w:color="auto"/>
              </w:divBdr>
              <w:divsChild>
                <w:div w:id="1774665729">
                  <w:marLeft w:val="0"/>
                  <w:marRight w:val="0"/>
                  <w:marTop w:val="0"/>
                  <w:marBottom w:val="0"/>
                  <w:divBdr>
                    <w:top w:val="none" w:sz="0" w:space="0" w:color="auto"/>
                    <w:left w:val="none" w:sz="0" w:space="0" w:color="auto"/>
                    <w:bottom w:val="none" w:sz="0" w:space="0" w:color="auto"/>
                    <w:right w:val="none" w:sz="0" w:space="0" w:color="auto"/>
                  </w:divBdr>
                  <w:divsChild>
                    <w:div w:id="1774665734">
                      <w:marLeft w:val="0"/>
                      <w:marRight w:val="0"/>
                      <w:marTop w:val="0"/>
                      <w:marBottom w:val="0"/>
                      <w:divBdr>
                        <w:top w:val="none" w:sz="0" w:space="0" w:color="auto"/>
                        <w:left w:val="none" w:sz="0" w:space="0" w:color="auto"/>
                        <w:bottom w:val="none" w:sz="0" w:space="0" w:color="auto"/>
                        <w:right w:val="none" w:sz="0" w:space="0" w:color="auto"/>
                      </w:divBdr>
                      <w:divsChild>
                        <w:div w:id="1774665736">
                          <w:marLeft w:val="0"/>
                          <w:marRight w:val="0"/>
                          <w:marTop w:val="0"/>
                          <w:marBottom w:val="0"/>
                          <w:divBdr>
                            <w:top w:val="none" w:sz="0" w:space="0" w:color="auto"/>
                            <w:left w:val="none" w:sz="0" w:space="0" w:color="auto"/>
                            <w:bottom w:val="none" w:sz="0" w:space="0" w:color="auto"/>
                            <w:right w:val="none" w:sz="0" w:space="0" w:color="auto"/>
                          </w:divBdr>
                          <w:divsChild>
                            <w:div w:id="1774665730">
                              <w:marLeft w:val="150"/>
                              <w:marRight w:val="150"/>
                              <w:marTop w:val="0"/>
                              <w:marBottom w:val="0"/>
                              <w:divBdr>
                                <w:top w:val="none" w:sz="0" w:space="0" w:color="auto"/>
                                <w:left w:val="none" w:sz="0" w:space="0" w:color="auto"/>
                                <w:bottom w:val="none" w:sz="0" w:space="0" w:color="auto"/>
                                <w:right w:val="none" w:sz="0" w:space="0" w:color="auto"/>
                              </w:divBdr>
                              <w:divsChild>
                                <w:div w:id="1774665735">
                                  <w:marLeft w:val="0"/>
                                  <w:marRight w:val="0"/>
                                  <w:marTop w:val="0"/>
                                  <w:marBottom w:val="150"/>
                                  <w:divBdr>
                                    <w:top w:val="none" w:sz="0" w:space="0" w:color="auto"/>
                                    <w:left w:val="none" w:sz="0" w:space="0" w:color="auto"/>
                                    <w:bottom w:val="none" w:sz="0" w:space="0" w:color="auto"/>
                                    <w:right w:val="none" w:sz="0" w:space="0" w:color="auto"/>
                                  </w:divBdr>
                                  <w:divsChild>
                                    <w:div w:id="1774665721">
                                      <w:marLeft w:val="0"/>
                                      <w:marRight w:val="0"/>
                                      <w:marTop w:val="0"/>
                                      <w:marBottom w:val="0"/>
                                      <w:divBdr>
                                        <w:top w:val="none" w:sz="0" w:space="0" w:color="auto"/>
                                        <w:left w:val="none" w:sz="0" w:space="0" w:color="auto"/>
                                        <w:bottom w:val="none" w:sz="0" w:space="0" w:color="auto"/>
                                        <w:right w:val="none" w:sz="0" w:space="0" w:color="auto"/>
                                      </w:divBdr>
                                      <w:divsChild>
                                        <w:div w:id="1774665720">
                                          <w:marLeft w:val="0"/>
                                          <w:marRight w:val="0"/>
                                          <w:marTop w:val="0"/>
                                          <w:marBottom w:val="0"/>
                                          <w:divBdr>
                                            <w:top w:val="none" w:sz="0" w:space="0" w:color="auto"/>
                                            <w:left w:val="none" w:sz="0" w:space="0" w:color="auto"/>
                                            <w:bottom w:val="none" w:sz="0" w:space="0" w:color="auto"/>
                                            <w:right w:val="none" w:sz="0" w:space="0" w:color="auto"/>
                                          </w:divBdr>
                                          <w:divsChild>
                                            <w:div w:id="1774665728">
                                              <w:marLeft w:val="0"/>
                                              <w:marRight w:val="0"/>
                                              <w:marTop w:val="0"/>
                                              <w:marBottom w:val="0"/>
                                              <w:divBdr>
                                                <w:top w:val="none" w:sz="0" w:space="0" w:color="auto"/>
                                                <w:left w:val="none" w:sz="0" w:space="0" w:color="auto"/>
                                                <w:bottom w:val="none" w:sz="0" w:space="0" w:color="auto"/>
                                                <w:right w:val="none" w:sz="0" w:space="0" w:color="auto"/>
                                              </w:divBdr>
                                              <w:divsChild>
                                                <w:div w:id="17746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665727">
      <w:marLeft w:val="0"/>
      <w:marRight w:val="0"/>
      <w:marTop w:val="0"/>
      <w:marBottom w:val="0"/>
      <w:divBdr>
        <w:top w:val="none" w:sz="0" w:space="0" w:color="auto"/>
        <w:left w:val="none" w:sz="0" w:space="0" w:color="auto"/>
        <w:bottom w:val="none" w:sz="0" w:space="0" w:color="auto"/>
        <w:right w:val="none" w:sz="0" w:space="0" w:color="auto"/>
      </w:divBdr>
    </w:div>
    <w:div w:id="1774665731">
      <w:marLeft w:val="0"/>
      <w:marRight w:val="0"/>
      <w:marTop w:val="0"/>
      <w:marBottom w:val="0"/>
      <w:divBdr>
        <w:top w:val="none" w:sz="0" w:space="0" w:color="auto"/>
        <w:left w:val="none" w:sz="0" w:space="0" w:color="auto"/>
        <w:bottom w:val="none" w:sz="0" w:space="0" w:color="auto"/>
        <w:right w:val="none" w:sz="0" w:space="0" w:color="auto"/>
      </w:divBdr>
    </w:div>
    <w:div w:id="1774665732">
      <w:marLeft w:val="0"/>
      <w:marRight w:val="0"/>
      <w:marTop w:val="0"/>
      <w:marBottom w:val="0"/>
      <w:divBdr>
        <w:top w:val="none" w:sz="0" w:space="0" w:color="auto"/>
        <w:left w:val="none" w:sz="0" w:space="0" w:color="auto"/>
        <w:bottom w:val="none" w:sz="0" w:space="0" w:color="auto"/>
        <w:right w:val="none" w:sz="0" w:space="0" w:color="auto"/>
      </w:divBdr>
    </w:div>
    <w:div w:id="1774665737">
      <w:marLeft w:val="0"/>
      <w:marRight w:val="0"/>
      <w:marTop w:val="0"/>
      <w:marBottom w:val="0"/>
      <w:divBdr>
        <w:top w:val="none" w:sz="0" w:space="0" w:color="auto"/>
        <w:left w:val="none" w:sz="0" w:space="0" w:color="auto"/>
        <w:bottom w:val="none" w:sz="0" w:space="0" w:color="auto"/>
        <w:right w:val="none" w:sz="0" w:space="0" w:color="auto"/>
      </w:divBdr>
    </w:div>
    <w:div w:id="1774665738">
      <w:marLeft w:val="0"/>
      <w:marRight w:val="0"/>
      <w:marTop w:val="0"/>
      <w:marBottom w:val="0"/>
      <w:divBdr>
        <w:top w:val="none" w:sz="0" w:space="0" w:color="auto"/>
        <w:left w:val="none" w:sz="0" w:space="0" w:color="auto"/>
        <w:bottom w:val="none" w:sz="0" w:space="0" w:color="auto"/>
        <w:right w:val="none" w:sz="0" w:space="0" w:color="auto"/>
      </w:divBdr>
    </w:div>
    <w:div w:id="1794054038">
      <w:bodyDiv w:val="1"/>
      <w:marLeft w:val="0"/>
      <w:marRight w:val="0"/>
      <w:marTop w:val="0"/>
      <w:marBottom w:val="0"/>
      <w:divBdr>
        <w:top w:val="none" w:sz="0" w:space="0" w:color="auto"/>
        <w:left w:val="none" w:sz="0" w:space="0" w:color="auto"/>
        <w:bottom w:val="none" w:sz="0" w:space="0" w:color="auto"/>
        <w:right w:val="none" w:sz="0" w:space="0" w:color="auto"/>
      </w:divBdr>
    </w:div>
    <w:div w:id="1809857434">
      <w:bodyDiv w:val="1"/>
      <w:marLeft w:val="0"/>
      <w:marRight w:val="0"/>
      <w:marTop w:val="0"/>
      <w:marBottom w:val="0"/>
      <w:divBdr>
        <w:top w:val="none" w:sz="0" w:space="0" w:color="auto"/>
        <w:left w:val="none" w:sz="0" w:space="0" w:color="auto"/>
        <w:bottom w:val="none" w:sz="0" w:space="0" w:color="auto"/>
        <w:right w:val="none" w:sz="0" w:space="0" w:color="auto"/>
      </w:divBdr>
    </w:div>
    <w:div w:id="1813714766">
      <w:bodyDiv w:val="1"/>
      <w:marLeft w:val="0"/>
      <w:marRight w:val="0"/>
      <w:marTop w:val="0"/>
      <w:marBottom w:val="0"/>
      <w:divBdr>
        <w:top w:val="none" w:sz="0" w:space="0" w:color="auto"/>
        <w:left w:val="none" w:sz="0" w:space="0" w:color="auto"/>
        <w:bottom w:val="none" w:sz="0" w:space="0" w:color="auto"/>
        <w:right w:val="none" w:sz="0" w:space="0" w:color="auto"/>
      </w:divBdr>
    </w:div>
    <w:div w:id="1825857248">
      <w:bodyDiv w:val="1"/>
      <w:marLeft w:val="0"/>
      <w:marRight w:val="0"/>
      <w:marTop w:val="0"/>
      <w:marBottom w:val="0"/>
      <w:divBdr>
        <w:top w:val="none" w:sz="0" w:space="0" w:color="auto"/>
        <w:left w:val="none" w:sz="0" w:space="0" w:color="auto"/>
        <w:bottom w:val="none" w:sz="0" w:space="0" w:color="auto"/>
        <w:right w:val="none" w:sz="0" w:space="0" w:color="auto"/>
      </w:divBdr>
    </w:div>
    <w:div w:id="1834955473">
      <w:bodyDiv w:val="1"/>
      <w:marLeft w:val="0"/>
      <w:marRight w:val="0"/>
      <w:marTop w:val="0"/>
      <w:marBottom w:val="0"/>
      <w:divBdr>
        <w:top w:val="none" w:sz="0" w:space="0" w:color="auto"/>
        <w:left w:val="none" w:sz="0" w:space="0" w:color="auto"/>
        <w:bottom w:val="none" w:sz="0" w:space="0" w:color="auto"/>
        <w:right w:val="none" w:sz="0" w:space="0" w:color="auto"/>
      </w:divBdr>
    </w:div>
    <w:div w:id="1854806191">
      <w:bodyDiv w:val="1"/>
      <w:marLeft w:val="0"/>
      <w:marRight w:val="0"/>
      <w:marTop w:val="0"/>
      <w:marBottom w:val="0"/>
      <w:divBdr>
        <w:top w:val="none" w:sz="0" w:space="0" w:color="auto"/>
        <w:left w:val="none" w:sz="0" w:space="0" w:color="auto"/>
        <w:bottom w:val="none" w:sz="0" w:space="0" w:color="auto"/>
        <w:right w:val="none" w:sz="0" w:space="0" w:color="auto"/>
      </w:divBdr>
    </w:div>
    <w:div w:id="1886018643">
      <w:bodyDiv w:val="1"/>
      <w:marLeft w:val="0"/>
      <w:marRight w:val="0"/>
      <w:marTop w:val="0"/>
      <w:marBottom w:val="0"/>
      <w:divBdr>
        <w:top w:val="none" w:sz="0" w:space="0" w:color="auto"/>
        <w:left w:val="none" w:sz="0" w:space="0" w:color="auto"/>
        <w:bottom w:val="none" w:sz="0" w:space="0" w:color="auto"/>
        <w:right w:val="none" w:sz="0" w:space="0" w:color="auto"/>
      </w:divBdr>
    </w:div>
    <w:div w:id="1922981493">
      <w:bodyDiv w:val="1"/>
      <w:marLeft w:val="0"/>
      <w:marRight w:val="0"/>
      <w:marTop w:val="0"/>
      <w:marBottom w:val="0"/>
      <w:divBdr>
        <w:top w:val="none" w:sz="0" w:space="0" w:color="auto"/>
        <w:left w:val="none" w:sz="0" w:space="0" w:color="auto"/>
        <w:bottom w:val="none" w:sz="0" w:space="0" w:color="auto"/>
        <w:right w:val="none" w:sz="0" w:space="0" w:color="auto"/>
      </w:divBdr>
    </w:div>
    <w:div w:id="1924296179">
      <w:bodyDiv w:val="1"/>
      <w:marLeft w:val="0"/>
      <w:marRight w:val="0"/>
      <w:marTop w:val="0"/>
      <w:marBottom w:val="0"/>
      <w:divBdr>
        <w:top w:val="none" w:sz="0" w:space="0" w:color="auto"/>
        <w:left w:val="none" w:sz="0" w:space="0" w:color="auto"/>
        <w:bottom w:val="none" w:sz="0" w:space="0" w:color="auto"/>
        <w:right w:val="none" w:sz="0" w:space="0" w:color="auto"/>
      </w:divBdr>
    </w:div>
    <w:div w:id="1934892093">
      <w:bodyDiv w:val="1"/>
      <w:marLeft w:val="0"/>
      <w:marRight w:val="0"/>
      <w:marTop w:val="0"/>
      <w:marBottom w:val="0"/>
      <w:divBdr>
        <w:top w:val="none" w:sz="0" w:space="0" w:color="auto"/>
        <w:left w:val="none" w:sz="0" w:space="0" w:color="auto"/>
        <w:bottom w:val="none" w:sz="0" w:space="0" w:color="auto"/>
        <w:right w:val="none" w:sz="0" w:space="0" w:color="auto"/>
      </w:divBdr>
    </w:div>
    <w:div w:id="1936864033">
      <w:bodyDiv w:val="1"/>
      <w:marLeft w:val="0"/>
      <w:marRight w:val="0"/>
      <w:marTop w:val="0"/>
      <w:marBottom w:val="0"/>
      <w:divBdr>
        <w:top w:val="none" w:sz="0" w:space="0" w:color="auto"/>
        <w:left w:val="none" w:sz="0" w:space="0" w:color="auto"/>
        <w:bottom w:val="none" w:sz="0" w:space="0" w:color="auto"/>
        <w:right w:val="none" w:sz="0" w:space="0" w:color="auto"/>
      </w:divBdr>
    </w:div>
    <w:div w:id="1937665803">
      <w:bodyDiv w:val="1"/>
      <w:marLeft w:val="0"/>
      <w:marRight w:val="0"/>
      <w:marTop w:val="0"/>
      <w:marBottom w:val="0"/>
      <w:divBdr>
        <w:top w:val="none" w:sz="0" w:space="0" w:color="auto"/>
        <w:left w:val="none" w:sz="0" w:space="0" w:color="auto"/>
        <w:bottom w:val="none" w:sz="0" w:space="0" w:color="auto"/>
        <w:right w:val="none" w:sz="0" w:space="0" w:color="auto"/>
      </w:divBdr>
    </w:div>
    <w:div w:id="1975020358">
      <w:bodyDiv w:val="1"/>
      <w:marLeft w:val="0"/>
      <w:marRight w:val="0"/>
      <w:marTop w:val="0"/>
      <w:marBottom w:val="0"/>
      <w:divBdr>
        <w:top w:val="none" w:sz="0" w:space="0" w:color="auto"/>
        <w:left w:val="none" w:sz="0" w:space="0" w:color="auto"/>
        <w:bottom w:val="none" w:sz="0" w:space="0" w:color="auto"/>
        <w:right w:val="none" w:sz="0" w:space="0" w:color="auto"/>
      </w:divBdr>
    </w:div>
    <w:div w:id="1980456170">
      <w:bodyDiv w:val="1"/>
      <w:marLeft w:val="0"/>
      <w:marRight w:val="0"/>
      <w:marTop w:val="0"/>
      <w:marBottom w:val="0"/>
      <w:divBdr>
        <w:top w:val="none" w:sz="0" w:space="0" w:color="auto"/>
        <w:left w:val="none" w:sz="0" w:space="0" w:color="auto"/>
        <w:bottom w:val="none" w:sz="0" w:space="0" w:color="auto"/>
        <w:right w:val="none" w:sz="0" w:space="0" w:color="auto"/>
      </w:divBdr>
    </w:div>
    <w:div w:id="1993872742">
      <w:bodyDiv w:val="1"/>
      <w:marLeft w:val="0"/>
      <w:marRight w:val="0"/>
      <w:marTop w:val="0"/>
      <w:marBottom w:val="0"/>
      <w:divBdr>
        <w:top w:val="none" w:sz="0" w:space="0" w:color="auto"/>
        <w:left w:val="none" w:sz="0" w:space="0" w:color="auto"/>
        <w:bottom w:val="none" w:sz="0" w:space="0" w:color="auto"/>
        <w:right w:val="none" w:sz="0" w:space="0" w:color="auto"/>
      </w:divBdr>
    </w:div>
    <w:div w:id="2012367172">
      <w:bodyDiv w:val="1"/>
      <w:marLeft w:val="0"/>
      <w:marRight w:val="0"/>
      <w:marTop w:val="0"/>
      <w:marBottom w:val="0"/>
      <w:divBdr>
        <w:top w:val="none" w:sz="0" w:space="0" w:color="auto"/>
        <w:left w:val="none" w:sz="0" w:space="0" w:color="auto"/>
        <w:bottom w:val="none" w:sz="0" w:space="0" w:color="auto"/>
        <w:right w:val="none" w:sz="0" w:space="0" w:color="auto"/>
      </w:divBdr>
    </w:div>
    <w:div w:id="2013946253">
      <w:bodyDiv w:val="1"/>
      <w:marLeft w:val="0"/>
      <w:marRight w:val="0"/>
      <w:marTop w:val="0"/>
      <w:marBottom w:val="0"/>
      <w:divBdr>
        <w:top w:val="none" w:sz="0" w:space="0" w:color="auto"/>
        <w:left w:val="none" w:sz="0" w:space="0" w:color="auto"/>
        <w:bottom w:val="none" w:sz="0" w:space="0" w:color="auto"/>
        <w:right w:val="none" w:sz="0" w:space="0" w:color="auto"/>
      </w:divBdr>
    </w:div>
    <w:div w:id="2015060762">
      <w:bodyDiv w:val="1"/>
      <w:marLeft w:val="0"/>
      <w:marRight w:val="0"/>
      <w:marTop w:val="0"/>
      <w:marBottom w:val="0"/>
      <w:divBdr>
        <w:top w:val="none" w:sz="0" w:space="0" w:color="auto"/>
        <w:left w:val="none" w:sz="0" w:space="0" w:color="auto"/>
        <w:bottom w:val="none" w:sz="0" w:space="0" w:color="auto"/>
        <w:right w:val="none" w:sz="0" w:space="0" w:color="auto"/>
      </w:divBdr>
    </w:div>
    <w:div w:id="2024744796">
      <w:bodyDiv w:val="1"/>
      <w:marLeft w:val="0"/>
      <w:marRight w:val="0"/>
      <w:marTop w:val="0"/>
      <w:marBottom w:val="0"/>
      <w:divBdr>
        <w:top w:val="none" w:sz="0" w:space="0" w:color="auto"/>
        <w:left w:val="none" w:sz="0" w:space="0" w:color="auto"/>
        <w:bottom w:val="none" w:sz="0" w:space="0" w:color="auto"/>
        <w:right w:val="none" w:sz="0" w:space="0" w:color="auto"/>
      </w:divBdr>
    </w:div>
    <w:div w:id="2026636233">
      <w:bodyDiv w:val="1"/>
      <w:marLeft w:val="0"/>
      <w:marRight w:val="0"/>
      <w:marTop w:val="0"/>
      <w:marBottom w:val="0"/>
      <w:divBdr>
        <w:top w:val="none" w:sz="0" w:space="0" w:color="auto"/>
        <w:left w:val="none" w:sz="0" w:space="0" w:color="auto"/>
        <w:bottom w:val="none" w:sz="0" w:space="0" w:color="auto"/>
        <w:right w:val="none" w:sz="0" w:space="0" w:color="auto"/>
      </w:divBdr>
    </w:div>
    <w:div w:id="2052798330">
      <w:bodyDiv w:val="1"/>
      <w:marLeft w:val="0"/>
      <w:marRight w:val="0"/>
      <w:marTop w:val="0"/>
      <w:marBottom w:val="0"/>
      <w:divBdr>
        <w:top w:val="none" w:sz="0" w:space="0" w:color="auto"/>
        <w:left w:val="none" w:sz="0" w:space="0" w:color="auto"/>
        <w:bottom w:val="none" w:sz="0" w:space="0" w:color="auto"/>
        <w:right w:val="none" w:sz="0" w:space="0" w:color="auto"/>
      </w:divBdr>
    </w:div>
    <w:div w:id="2057512078">
      <w:bodyDiv w:val="1"/>
      <w:marLeft w:val="0"/>
      <w:marRight w:val="0"/>
      <w:marTop w:val="0"/>
      <w:marBottom w:val="0"/>
      <w:divBdr>
        <w:top w:val="none" w:sz="0" w:space="0" w:color="auto"/>
        <w:left w:val="none" w:sz="0" w:space="0" w:color="auto"/>
        <w:bottom w:val="none" w:sz="0" w:space="0" w:color="auto"/>
        <w:right w:val="none" w:sz="0" w:space="0" w:color="auto"/>
      </w:divBdr>
    </w:div>
    <w:div w:id="2062971575">
      <w:bodyDiv w:val="1"/>
      <w:marLeft w:val="0"/>
      <w:marRight w:val="0"/>
      <w:marTop w:val="0"/>
      <w:marBottom w:val="0"/>
      <w:divBdr>
        <w:top w:val="none" w:sz="0" w:space="0" w:color="auto"/>
        <w:left w:val="none" w:sz="0" w:space="0" w:color="auto"/>
        <w:bottom w:val="none" w:sz="0" w:space="0" w:color="auto"/>
        <w:right w:val="none" w:sz="0" w:space="0" w:color="auto"/>
      </w:divBdr>
    </w:div>
    <w:div w:id="2063825954">
      <w:bodyDiv w:val="1"/>
      <w:marLeft w:val="0"/>
      <w:marRight w:val="0"/>
      <w:marTop w:val="0"/>
      <w:marBottom w:val="0"/>
      <w:divBdr>
        <w:top w:val="none" w:sz="0" w:space="0" w:color="auto"/>
        <w:left w:val="none" w:sz="0" w:space="0" w:color="auto"/>
        <w:bottom w:val="none" w:sz="0" w:space="0" w:color="auto"/>
        <w:right w:val="none" w:sz="0" w:space="0" w:color="auto"/>
      </w:divBdr>
    </w:div>
    <w:div w:id="2089300628">
      <w:bodyDiv w:val="1"/>
      <w:marLeft w:val="0"/>
      <w:marRight w:val="0"/>
      <w:marTop w:val="0"/>
      <w:marBottom w:val="0"/>
      <w:divBdr>
        <w:top w:val="none" w:sz="0" w:space="0" w:color="auto"/>
        <w:left w:val="none" w:sz="0" w:space="0" w:color="auto"/>
        <w:bottom w:val="none" w:sz="0" w:space="0" w:color="auto"/>
        <w:right w:val="none" w:sz="0" w:space="0" w:color="auto"/>
      </w:divBdr>
    </w:div>
    <w:div w:id="2089576692">
      <w:bodyDiv w:val="1"/>
      <w:marLeft w:val="0"/>
      <w:marRight w:val="0"/>
      <w:marTop w:val="0"/>
      <w:marBottom w:val="0"/>
      <w:divBdr>
        <w:top w:val="none" w:sz="0" w:space="0" w:color="auto"/>
        <w:left w:val="none" w:sz="0" w:space="0" w:color="auto"/>
        <w:bottom w:val="none" w:sz="0" w:space="0" w:color="auto"/>
        <w:right w:val="none" w:sz="0" w:space="0" w:color="auto"/>
      </w:divBdr>
    </w:div>
    <w:div w:id="2097092506">
      <w:bodyDiv w:val="1"/>
      <w:marLeft w:val="0"/>
      <w:marRight w:val="0"/>
      <w:marTop w:val="0"/>
      <w:marBottom w:val="0"/>
      <w:divBdr>
        <w:top w:val="none" w:sz="0" w:space="0" w:color="auto"/>
        <w:left w:val="none" w:sz="0" w:space="0" w:color="auto"/>
        <w:bottom w:val="none" w:sz="0" w:space="0" w:color="auto"/>
        <w:right w:val="none" w:sz="0" w:space="0" w:color="auto"/>
      </w:divBdr>
    </w:div>
    <w:div w:id="2103145062">
      <w:bodyDiv w:val="1"/>
      <w:marLeft w:val="0"/>
      <w:marRight w:val="0"/>
      <w:marTop w:val="0"/>
      <w:marBottom w:val="0"/>
      <w:divBdr>
        <w:top w:val="none" w:sz="0" w:space="0" w:color="auto"/>
        <w:left w:val="none" w:sz="0" w:space="0" w:color="auto"/>
        <w:bottom w:val="none" w:sz="0" w:space="0" w:color="auto"/>
        <w:right w:val="none" w:sz="0" w:space="0" w:color="auto"/>
      </w:divBdr>
    </w:div>
    <w:div w:id="2115712607">
      <w:bodyDiv w:val="1"/>
      <w:marLeft w:val="0"/>
      <w:marRight w:val="0"/>
      <w:marTop w:val="0"/>
      <w:marBottom w:val="0"/>
      <w:divBdr>
        <w:top w:val="none" w:sz="0" w:space="0" w:color="auto"/>
        <w:left w:val="none" w:sz="0" w:space="0" w:color="auto"/>
        <w:bottom w:val="none" w:sz="0" w:space="0" w:color="auto"/>
        <w:right w:val="none" w:sz="0" w:space="0" w:color="auto"/>
      </w:divBdr>
    </w:div>
    <w:div w:id="21374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A2200-FC63-44A2-8BC2-681301E4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6269</Words>
  <Characters>35107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Leah Dionne</cp:lastModifiedBy>
  <cp:revision>6</cp:revision>
  <cp:lastPrinted>2020-08-31T17:45:00Z</cp:lastPrinted>
  <dcterms:created xsi:type="dcterms:W3CDTF">2020-08-26T18:39:00Z</dcterms:created>
  <dcterms:modified xsi:type="dcterms:W3CDTF">2020-08-31T17:45:00Z</dcterms:modified>
</cp:coreProperties>
</file>